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059"/>
        <w:gridCol w:w="4068"/>
      </w:tblGrid>
      <w:tr w:rsidR="00427E63" w:rsidRPr="008E0CB3" w:rsidTr="003B0191">
        <w:trPr>
          <w:trHeight w:val="2122"/>
        </w:trPr>
        <w:tc>
          <w:tcPr>
            <w:tcW w:w="5059" w:type="dxa"/>
            <w:shd w:val="clear" w:color="auto" w:fill="auto"/>
          </w:tcPr>
          <w:p w:rsidR="00427E63" w:rsidRPr="008E0CB3" w:rsidRDefault="00427E63" w:rsidP="003B0191">
            <w:pPr>
              <w:snapToGrid w:val="0"/>
              <w:jc w:val="center"/>
              <w:rPr>
                <w:rFonts w:cs="Arial"/>
                <w:b/>
                <w:szCs w:val="28"/>
              </w:rPr>
            </w:pPr>
            <w:r w:rsidRPr="008E0CB3">
              <w:rPr>
                <w:rFonts w:cs="Arial"/>
                <w:b/>
                <w:szCs w:val="28"/>
              </w:rPr>
              <w:t>MINISTERE DE L’ENVIRONNEMENT</w:t>
            </w:r>
          </w:p>
          <w:p w:rsidR="001B23BA" w:rsidRDefault="001B23BA" w:rsidP="003B0191">
            <w:pPr>
              <w:rPr>
                <w:rFonts w:cs="Arial"/>
                <w:b/>
                <w:szCs w:val="28"/>
              </w:rPr>
            </w:pPr>
            <w:r>
              <w:rPr>
                <w:rFonts w:cs="Arial"/>
                <w:b/>
                <w:szCs w:val="28"/>
              </w:rPr>
              <w:t xml:space="preserve">ET, DE L’ECONOMIE VERTE ET </w:t>
            </w:r>
          </w:p>
          <w:p w:rsidR="00427E63" w:rsidRPr="008E0CB3" w:rsidRDefault="001B23BA" w:rsidP="003B0191">
            <w:pPr>
              <w:rPr>
                <w:rFonts w:cs="Arial"/>
                <w:b/>
                <w:szCs w:val="28"/>
              </w:rPr>
            </w:pPr>
            <w:r>
              <w:rPr>
                <w:rFonts w:cs="Arial"/>
                <w:b/>
                <w:szCs w:val="28"/>
              </w:rPr>
              <w:t xml:space="preserve">               DU CLIMATIQUE</w:t>
            </w:r>
          </w:p>
          <w:p w:rsidR="00427E63" w:rsidRPr="008E0CB3" w:rsidRDefault="00427E63" w:rsidP="003B0191">
            <w:pPr>
              <w:jc w:val="center"/>
              <w:rPr>
                <w:rFonts w:cs="Arial"/>
                <w:b/>
                <w:sz w:val="28"/>
                <w:szCs w:val="28"/>
              </w:rPr>
            </w:pPr>
            <w:r w:rsidRPr="008E0CB3">
              <w:rPr>
                <w:rFonts w:cs="Arial"/>
                <w:b/>
                <w:sz w:val="28"/>
                <w:szCs w:val="28"/>
              </w:rPr>
              <w:t>**************</w:t>
            </w:r>
          </w:p>
          <w:p w:rsidR="00427E63" w:rsidRPr="008E0CB3" w:rsidRDefault="00427E63" w:rsidP="00427E63">
            <w:pPr>
              <w:jc w:val="center"/>
              <w:rPr>
                <w:rFonts w:cs="Arial"/>
                <w:b/>
              </w:rPr>
            </w:pPr>
            <w:r w:rsidRPr="008E0CB3">
              <w:rPr>
                <w:rFonts w:cs="Arial"/>
                <w:b/>
              </w:rPr>
              <w:t>SECRETARIAT PERMANENT DU CONSEIL</w:t>
            </w:r>
          </w:p>
          <w:p w:rsidR="00427E63" w:rsidRPr="008E0CB3" w:rsidRDefault="00427E63" w:rsidP="00427E63">
            <w:pPr>
              <w:jc w:val="center"/>
              <w:rPr>
                <w:rFonts w:cs="Arial"/>
                <w:b/>
              </w:rPr>
            </w:pPr>
            <w:r w:rsidRPr="008E0CB3">
              <w:rPr>
                <w:rFonts w:cs="Arial"/>
                <w:b/>
              </w:rPr>
              <w:t>NATIONAL POUR L’ENVIRONNEMENT</w:t>
            </w:r>
          </w:p>
          <w:p w:rsidR="00427E63" w:rsidRPr="008E0CB3" w:rsidRDefault="00427E63" w:rsidP="00427E63">
            <w:pPr>
              <w:jc w:val="center"/>
              <w:rPr>
                <w:rFonts w:cs="Arial"/>
                <w:b/>
              </w:rPr>
            </w:pPr>
            <w:r w:rsidRPr="008E0CB3">
              <w:rPr>
                <w:rFonts w:cs="Arial"/>
                <w:b/>
              </w:rPr>
              <w:t>ET LE DEVELOPPEMENT DURABLE</w:t>
            </w:r>
          </w:p>
          <w:p w:rsidR="00427E63" w:rsidRPr="008E0CB3" w:rsidRDefault="00427E63" w:rsidP="003B0191">
            <w:pPr>
              <w:jc w:val="center"/>
              <w:rPr>
                <w:rFonts w:cs="Arial"/>
                <w:b/>
              </w:rPr>
            </w:pPr>
          </w:p>
        </w:tc>
        <w:tc>
          <w:tcPr>
            <w:tcW w:w="4068" w:type="dxa"/>
            <w:shd w:val="clear" w:color="auto" w:fill="auto"/>
          </w:tcPr>
          <w:p w:rsidR="00427E63" w:rsidRPr="008E0CB3" w:rsidRDefault="00534940" w:rsidP="003B0191">
            <w:pPr>
              <w:snapToGrid w:val="0"/>
              <w:jc w:val="center"/>
              <w:rPr>
                <w:rFonts w:cs="Arial"/>
                <w:b/>
                <w:sz w:val="28"/>
                <w:szCs w:val="28"/>
              </w:rPr>
            </w:pPr>
            <w:r>
              <w:rPr>
                <w:rFonts w:cs="Arial"/>
                <w:b/>
                <w:szCs w:val="28"/>
              </w:rPr>
              <w:t xml:space="preserve">                      </w:t>
            </w:r>
            <w:r w:rsidR="00427E63" w:rsidRPr="008E0CB3">
              <w:rPr>
                <w:rFonts w:cs="Arial"/>
                <w:b/>
                <w:szCs w:val="28"/>
              </w:rPr>
              <w:t>BURKINA FASO</w:t>
            </w:r>
            <w:r w:rsidR="00427E63" w:rsidRPr="008E0CB3">
              <w:rPr>
                <w:rFonts w:cs="Arial"/>
                <w:b/>
                <w:szCs w:val="28"/>
              </w:rPr>
              <w:br/>
            </w:r>
            <w:r>
              <w:rPr>
                <w:rFonts w:cs="Arial"/>
                <w:sz w:val="18"/>
                <w:szCs w:val="28"/>
              </w:rPr>
              <w:t xml:space="preserve">                            </w:t>
            </w:r>
            <w:r w:rsidR="00427E63" w:rsidRPr="003A1534">
              <w:rPr>
                <w:rFonts w:cs="Arial"/>
                <w:sz w:val="18"/>
                <w:szCs w:val="28"/>
              </w:rPr>
              <w:t>Unité – Progrès - Justice</w:t>
            </w:r>
          </w:p>
        </w:tc>
      </w:tr>
    </w:tbl>
    <w:p w:rsidR="007763C3" w:rsidRDefault="007763C3"/>
    <w:p w:rsidR="00427E63" w:rsidRDefault="00427E63"/>
    <w:p w:rsidR="00D75DBF" w:rsidRDefault="00D75DBF"/>
    <w:p w:rsidR="00D75DBF" w:rsidRDefault="00D75DBF"/>
    <w:p w:rsidR="00D75DBF" w:rsidRDefault="00D75DBF"/>
    <w:p w:rsidR="00427E63" w:rsidRDefault="00427E63"/>
    <w:p w:rsidR="00427E63" w:rsidRDefault="00427E63"/>
    <w:p w:rsidR="001426A9" w:rsidRDefault="001625AA">
      <w:r w:rsidRPr="001625AA">
        <w:rPr>
          <w:b/>
          <w:noProof/>
          <w:sz w:val="36"/>
          <w:lang w:eastAsia="fr-FR"/>
        </w:rPr>
        <w:pict>
          <v:shapetype id="_x0000_t202" coordsize="21600,21600" o:spt="202" path="m,l,21600r21600,l21600,xe">
            <v:stroke joinstyle="miter"/>
            <v:path gradientshapeok="t" o:connecttype="rect"/>
          </v:shapetype>
          <v:shape id="_x0000_s1028" type="#_x0000_t202" style="position:absolute;margin-left:-22.7pt;margin-top:6.5pt;width:525.35pt;height:411.8pt;z-index:251658240;mso-width-relative:margin;mso-height-relative:margin" strokecolor="white [3212]">
            <v:textbox style="mso-next-textbox:#_x0000_s1028">
              <w:txbxContent>
                <w:p w:rsidR="008645AB" w:rsidRDefault="008645AB" w:rsidP="00DA2038">
                  <w:pPr>
                    <w:jc w:val="center"/>
                    <w:rPr>
                      <w:rFonts w:cs="Levenim MT"/>
                      <w:b/>
                      <w:i/>
                      <w:color w:val="000000" w:themeColor="text1"/>
                      <w:sz w:val="36"/>
                    </w:rPr>
                  </w:pPr>
                </w:p>
                <w:p w:rsidR="008645AB" w:rsidRDefault="008645AB" w:rsidP="00DA2038">
                  <w:pPr>
                    <w:jc w:val="center"/>
                    <w:rPr>
                      <w:rFonts w:cs="Levenim MT"/>
                      <w:b/>
                      <w:i/>
                      <w:color w:val="000000" w:themeColor="text1"/>
                      <w:sz w:val="36"/>
                    </w:rPr>
                  </w:pPr>
                </w:p>
                <w:p w:rsidR="00534940" w:rsidRPr="00DA2038" w:rsidRDefault="00534940" w:rsidP="00DA2038">
                  <w:pPr>
                    <w:jc w:val="center"/>
                    <w:rPr>
                      <w:rFonts w:cs="Levenim MT"/>
                      <w:b/>
                      <w:i/>
                      <w:color w:val="000000" w:themeColor="text1"/>
                      <w:sz w:val="36"/>
                    </w:rPr>
                  </w:pPr>
                  <w:r w:rsidRPr="00DA2038">
                    <w:rPr>
                      <w:rFonts w:cs="Levenim MT"/>
                      <w:b/>
                      <w:i/>
                      <w:color w:val="000000" w:themeColor="text1"/>
                      <w:sz w:val="36"/>
                    </w:rPr>
                    <w:t xml:space="preserve">Rapport </w:t>
                  </w:r>
                  <w:r w:rsidR="00DA2038" w:rsidRPr="00DA2038">
                    <w:rPr>
                      <w:rFonts w:cs="Levenim MT"/>
                      <w:b/>
                      <w:i/>
                      <w:color w:val="000000" w:themeColor="text1"/>
                      <w:sz w:val="36"/>
                    </w:rPr>
                    <w:t>financier partiel du contrat de prestation de service 2014/SO2-CHM-02/46</w:t>
                  </w:r>
                </w:p>
                <w:p w:rsidR="00D75DBF" w:rsidRDefault="00D75DBF"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232ACD" w:rsidRDefault="00232ACD" w:rsidP="00534940"/>
                <w:p w:rsidR="00534940" w:rsidRDefault="00534940" w:rsidP="00534940"/>
                <w:p w:rsidR="00534940" w:rsidRDefault="00534940" w:rsidP="00534940">
                  <w:r>
                    <w:t xml:space="preserve">  </w:t>
                  </w:r>
                  <w:r w:rsidRPr="006555AB">
                    <w:rPr>
                      <w:noProof/>
                      <w:lang w:eastAsia="fr-FR"/>
                    </w:rPr>
                    <w:drawing>
                      <wp:inline distT="0" distB="0" distL="0" distR="0">
                        <wp:extent cx="1290371" cy="980237"/>
                        <wp:effectExtent l="19050" t="0" r="5029" b="0"/>
                        <wp:docPr id="8" name="Image 1" descr="Logo du Conedd"/>
                        <wp:cNvGraphicFramePr/>
                        <a:graphic xmlns:a="http://schemas.openxmlformats.org/drawingml/2006/main">
                          <a:graphicData uri="http://schemas.openxmlformats.org/drawingml/2006/picture">
                            <pic:pic xmlns:pic="http://schemas.openxmlformats.org/drawingml/2006/picture">
                              <pic:nvPicPr>
                                <pic:cNvPr id="3082" name="Picture 2055" descr="Logo du Conedd"/>
                                <pic:cNvPicPr>
                                  <a:picLocks noChangeAspect="1" noChangeArrowheads="1"/>
                                </pic:cNvPicPr>
                              </pic:nvPicPr>
                              <pic:blipFill>
                                <a:blip r:embed="rId8"/>
                                <a:srcRect/>
                                <a:stretch>
                                  <a:fillRect/>
                                </a:stretch>
                              </pic:blipFill>
                              <pic:spPr bwMode="auto">
                                <a:xfrm>
                                  <a:off x="0" y="0"/>
                                  <a:ext cx="1294079" cy="983054"/>
                                </a:xfrm>
                                <a:prstGeom prst="rect">
                                  <a:avLst/>
                                </a:prstGeom>
                                <a:noFill/>
                                <a:ln w="9525">
                                  <a:noFill/>
                                  <a:miter lim="800000"/>
                                  <a:headEnd/>
                                  <a:tailEnd/>
                                </a:ln>
                              </pic:spPr>
                            </pic:pic>
                          </a:graphicData>
                        </a:graphic>
                      </wp:inline>
                    </w:drawing>
                  </w:r>
                  <w:r>
                    <w:t xml:space="preserve">                                                                   </w:t>
                  </w:r>
                  <w:r w:rsidRPr="006555AB">
                    <w:rPr>
                      <w:noProof/>
                      <w:lang w:eastAsia="fr-FR"/>
                    </w:rPr>
                    <w:drawing>
                      <wp:inline distT="0" distB="0" distL="0" distR="0">
                        <wp:extent cx="1526540" cy="643890"/>
                        <wp:effectExtent l="1905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526540" cy="643890"/>
                                </a:xfrm>
                                <a:prstGeom prst="rect">
                                  <a:avLst/>
                                </a:prstGeom>
                                <a:noFill/>
                                <a:ln w="9525">
                                  <a:noFill/>
                                  <a:miter lim="800000"/>
                                  <a:headEnd/>
                                  <a:tailEnd/>
                                </a:ln>
                              </pic:spPr>
                            </pic:pic>
                          </a:graphicData>
                        </a:graphic>
                      </wp:inline>
                    </w:drawing>
                  </w:r>
                </w:p>
              </w:txbxContent>
            </v:textbox>
          </v:shape>
        </w:pict>
      </w:r>
    </w:p>
    <w:p w:rsidR="001426A9" w:rsidRPr="009C4AF8" w:rsidRDefault="001426A9" w:rsidP="00FF0A79">
      <w:pPr>
        <w:jc w:val="center"/>
        <w:rPr>
          <w:b/>
          <w:sz w:val="36"/>
        </w:rPr>
      </w:pPr>
    </w:p>
    <w:p w:rsidR="00FF0A79" w:rsidRDefault="00FF0A79" w:rsidP="00FF0A79">
      <w:pPr>
        <w:jc w:val="center"/>
        <w:rPr>
          <w:b/>
          <w:sz w:val="48"/>
        </w:rPr>
      </w:pPr>
    </w:p>
    <w:p w:rsidR="00FF0A79" w:rsidRDefault="00FF0A79" w:rsidP="00FF0A79">
      <w:pPr>
        <w:jc w:val="center"/>
        <w:rPr>
          <w:b/>
          <w:sz w:val="48"/>
        </w:rPr>
      </w:pPr>
    </w:p>
    <w:p w:rsidR="009C4AF8" w:rsidRDefault="009C4AF8" w:rsidP="00FF0A79">
      <w:pPr>
        <w:jc w:val="center"/>
        <w:rPr>
          <w:b/>
          <w:sz w:val="48"/>
        </w:rPr>
      </w:pPr>
    </w:p>
    <w:p w:rsidR="009C4AF8" w:rsidRDefault="009C4AF8" w:rsidP="00FF0A79">
      <w:pPr>
        <w:jc w:val="center"/>
        <w:rPr>
          <w:b/>
          <w:sz w:val="48"/>
        </w:rPr>
      </w:pPr>
    </w:p>
    <w:p w:rsidR="00534940" w:rsidRDefault="00534940" w:rsidP="00FF0A79">
      <w:pPr>
        <w:jc w:val="right"/>
        <w:rPr>
          <w:b/>
          <w:sz w:val="28"/>
          <w:szCs w:val="28"/>
        </w:rPr>
      </w:pPr>
    </w:p>
    <w:p w:rsidR="00534940" w:rsidRDefault="00534940" w:rsidP="00FF0A79">
      <w:pPr>
        <w:jc w:val="right"/>
        <w:rPr>
          <w:b/>
          <w:sz w:val="28"/>
          <w:szCs w:val="28"/>
        </w:rPr>
      </w:pPr>
    </w:p>
    <w:p w:rsidR="00534940" w:rsidRDefault="00534940" w:rsidP="00FF0A79">
      <w:pPr>
        <w:jc w:val="right"/>
        <w:rPr>
          <w:b/>
          <w:sz w:val="28"/>
          <w:szCs w:val="28"/>
        </w:rPr>
      </w:pPr>
    </w:p>
    <w:p w:rsidR="00DF2AE1" w:rsidRDefault="00DF2AE1" w:rsidP="00DF2AE1">
      <w:pPr>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D75DBF" w:rsidRDefault="00D75DBF" w:rsidP="00DF2AE1">
      <w:pPr>
        <w:jc w:val="right"/>
        <w:rPr>
          <w:b/>
          <w:sz w:val="28"/>
          <w:szCs w:val="28"/>
        </w:rPr>
      </w:pPr>
    </w:p>
    <w:p w:rsidR="00534940" w:rsidRPr="00534940" w:rsidRDefault="00DF2AE1" w:rsidP="00DF2AE1">
      <w:pPr>
        <w:jc w:val="right"/>
        <w:rPr>
          <w:b/>
          <w:sz w:val="28"/>
          <w:szCs w:val="28"/>
        </w:rPr>
      </w:pPr>
      <w:r>
        <w:rPr>
          <w:b/>
          <w:sz w:val="28"/>
          <w:szCs w:val="28"/>
        </w:rPr>
        <w:t>Février 2016</w:t>
      </w:r>
    </w:p>
    <w:p w:rsidR="00FF0A79" w:rsidRPr="0056414A" w:rsidRDefault="001809A5" w:rsidP="001809A5">
      <w:pPr>
        <w:rPr>
          <w:b/>
          <w:sz w:val="28"/>
        </w:rPr>
      </w:pPr>
      <w:r w:rsidRPr="0056414A">
        <w:rPr>
          <w:b/>
          <w:sz w:val="28"/>
        </w:rPr>
        <w:lastRenderedPageBreak/>
        <w:t>INTRODUCTION</w:t>
      </w:r>
    </w:p>
    <w:p w:rsidR="001809A5" w:rsidRPr="00D45D14" w:rsidRDefault="001809A5" w:rsidP="001809A5"/>
    <w:p w:rsidR="00EB4803" w:rsidRPr="00AC4CFA" w:rsidRDefault="00EB4803" w:rsidP="00EB4803">
      <w:pPr>
        <w:autoSpaceDE w:val="0"/>
        <w:autoSpaceDN w:val="0"/>
        <w:adjustRightInd w:val="0"/>
        <w:spacing w:line="360" w:lineRule="auto"/>
        <w:jc w:val="both"/>
        <w:rPr>
          <w:rFonts w:cs="Times"/>
          <w:color w:val="000000"/>
        </w:rPr>
      </w:pPr>
      <w:r>
        <w:rPr>
          <w:rFonts w:cs="Helvetica"/>
          <w:spacing w:val="2"/>
          <w:lang w:val="fr-BE"/>
        </w:rPr>
        <w:t>La Convention sur la Diversité Biologique(CDB) ratifiée par le Burkina Faso le 2 septembre 1993 stipule  en son article 18, paragraphe 3 la création d'un mécanisme d'échange d'informations sur la biodiversité par les pays Parties afin de promouvoir et faciliter la coopération technique et scientifique.</w:t>
      </w:r>
    </w:p>
    <w:p w:rsidR="00EB4803" w:rsidRDefault="00EB4803" w:rsidP="00EB4803">
      <w:pPr>
        <w:autoSpaceDE w:val="0"/>
        <w:autoSpaceDN w:val="0"/>
        <w:adjustRightInd w:val="0"/>
        <w:spacing w:line="360" w:lineRule="auto"/>
        <w:jc w:val="both"/>
        <w:rPr>
          <w:rFonts w:cs="Times"/>
          <w:b/>
          <w:color w:val="000000"/>
        </w:rPr>
      </w:pPr>
    </w:p>
    <w:p w:rsidR="00EB4803" w:rsidRDefault="00EB4803" w:rsidP="00EB4803">
      <w:pPr>
        <w:spacing w:line="360" w:lineRule="auto"/>
        <w:jc w:val="both"/>
        <w:rPr>
          <w:rFonts w:cs="Helvetica"/>
          <w:spacing w:val="2"/>
          <w:lang w:val="fr-BE"/>
        </w:rPr>
      </w:pPr>
      <w:r>
        <w:rPr>
          <w:rFonts w:cs="Helvetica"/>
          <w:spacing w:val="2"/>
          <w:lang w:val="fr-BE"/>
        </w:rPr>
        <w:t xml:space="preserve">La CDB accorde donc un intérêt particulier à l’échange d’information vu le rôle que peut jouer  l’information et la communication dans la connaissance des éléments de la diversité biologique et les avantages issus de l’exploitation des ressources génétiques. </w:t>
      </w:r>
    </w:p>
    <w:p w:rsidR="00EB4803" w:rsidRDefault="00EB4803" w:rsidP="00EB4803">
      <w:pPr>
        <w:spacing w:line="360" w:lineRule="auto"/>
        <w:jc w:val="both"/>
        <w:rPr>
          <w:rFonts w:cs="Helvetica"/>
          <w:spacing w:val="2"/>
          <w:lang w:val="fr-BE"/>
        </w:rPr>
      </w:pPr>
      <w:r>
        <w:rPr>
          <w:rFonts w:cs="Helvetica"/>
          <w:spacing w:val="2"/>
          <w:lang w:val="fr-BE"/>
        </w:rPr>
        <w:t>Le Centre d’Echange d’Informations a pour mission de contribuer de manière substantielle à l’application de la Convention sur la diversité biologique et de son Plan stratégique pour la période 2011-2020, au moyen de services d’information efficaces et d’autres moyens appropriés, afin de promouvoir et faciliter la coopération scientifique et technique, le partage des connaissances et l’échange d’informations et la mise en place d’un réseau pleinement opérationnel.</w:t>
      </w:r>
    </w:p>
    <w:p w:rsidR="00EB4803" w:rsidRDefault="00EB4803" w:rsidP="00EB4803">
      <w:pPr>
        <w:spacing w:line="360" w:lineRule="auto"/>
        <w:jc w:val="both"/>
        <w:rPr>
          <w:rFonts w:cs="Helvetica"/>
          <w:spacing w:val="2"/>
          <w:lang w:val="fr-BE"/>
        </w:rPr>
      </w:pPr>
      <w:r>
        <w:rPr>
          <w:rFonts w:cs="Helvetica"/>
          <w:spacing w:val="2"/>
          <w:lang w:val="fr-BE"/>
        </w:rPr>
        <w:t>Le CHM du Burkina Faso a donc été créé en application aux dispositions des articles 17 et 18 de la Convention sur la Diversité Biologique. D’importants acquis sont remarquables en matière de renforcement de capacités, cependant, à l’instar des autres pays africains, des difficultés persistent.</w:t>
      </w:r>
    </w:p>
    <w:p w:rsidR="00EB4803" w:rsidRPr="001C01AD" w:rsidRDefault="00EB4803" w:rsidP="00EB4803">
      <w:pPr>
        <w:autoSpaceDE w:val="0"/>
        <w:autoSpaceDN w:val="0"/>
        <w:adjustRightInd w:val="0"/>
        <w:spacing w:line="360" w:lineRule="auto"/>
        <w:jc w:val="both"/>
        <w:rPr>
          <w:rFonts w:cs="Helvetica"/>
          <w:spacing w:val="2"/>
          <w:lang w:val="fr-BE"/>
        </w:rPr>
      </w:pPr>
      <w:r w:rsidRPr="001C01AD">
        <w:rPr>
          <w:rFonts w:cs="Helvetica"/>
          <w:spacing w:val="2"/>
          <w:lang w:val="fr-BE"/>
        </w:rPr>
        <w:t>Pour y remédier et permettre un meilleur fonctionnement du CHM</w:t>
      </w:r>
      <w:r>
        <w:rPr>
          <w:rFonts w:cs="Helvetica"/>
          <w:spacing w:val="2"/>
          <w:lang w:val="fr-BE"/>
        </w:rPr>
        <w:t xml:space="preserve"> du Burkina Faso</w:t>
      </w:r>
      <w:r w:rsidRPr="001C01AD">
        <w:rPr>
          <w:rFonts w:cs="Helvetica"/>
          <w:spacing w:val="2"/>
          <w:lang w:val="fr-BE"/>
        </w:rPr>
        <w:t xml:space="preserve">, le </w:t>
      </w:r>
      <w:r>
        <w:rPr>
          <w:rFonts w:cs="Helvetica"/>
          <w:spacing w:val="2"/>
          <w:lang w:val="fr-BE"/>
        </w:rPr>
        <w:t>Secrétariat Permanent du Conseil National pour l’environnement et du Développement Durable (SP/CONEDD)</w:t>
      </w:r>
      <w:r w:rsidRPr="001C01AD">
        <w:rPr>
          <w:rFonts w:cs="Helvetica"/>
          <w:spacing w:val="2"/>
          <w:lang w:val="fr-BE"/>
        </w:rPr>
        <w:t xml:space="preserve"> se propose d’organiser un processus continu de promotion et d’amélioration du contenu du centre d’échange d’informations afin de faciliter la mise en œuvre.</w:t>
      </w:r>
    </w:p>
    <w:p w:rsidR="00EB4803" w:rsidRDefault="00EB4803" w:rsidP="0056414A">
      <w:pPr>
        <w:spacing w:line="276" w:lineRule="auto"/>
        <w:jc w:val="both"/>
        <w:rPr>
          <w:lang w:val="fr-BE"/>
        </w:rPr>
      </w:pPr>
    </w:p>
    <w:p w:rsidR="00EB4803" w:rsidRDefault="00EB4803" w:rsidP="00EB4803">
      <w:pPr>
        <w:rPr>
          <w:b/>
          <w:sz w:val="28"/>
        </w:rPr>
      </w:pPr>
    </w:p>
    <w:p w:rsidR="00EB4803" w:rsidRDefault="00EB4803" w:rsidP="00EB4803">
      <w:pPr>
        <w:rPr>
          <w:b/>
          <w:sz w:val="28"/>
        </w:rPr>
      </w:pPr>
    </w:p>
    <w:p w:rsidR="00EB4803" w:rsidRDefault="00EB4803" w:rsidP="00EB4803">
      <w:pPr>
        <w:rPr>
          <w:b/>
          <w:sz w:val="28"/>
        </w:rPr>
      </w:pPr>
    </w:p>
    <w:p w:rsidR="00EB4803" w:rsidRPr="00EB4803" w:rsidRDefault="00EB4803" w:rsidP="00EB4803">
      <w:pPr>
        <w:rPr>
          <w:b/>
          <w:sz w:val="28"/>
        </w:rPr>
      </w:pPr>
      <w:r w:rsidRPr="00EB4803">
        <w:rPr>
          <w:b/>
          <w:sz w:val="28"/>
        </w:rPr>
        <w:lastRenderedPageBreak/>
        <w:t xml:space="preserve">DEROULEMENT </w:t>
      </w:r>
    </w:p>
    <w:p w:rsidR="00EB4803" w:rsidRDefault="00EB4803" w:rsidP="0056414A">
      <w:pPr>
        <w:spacing w:line="276" w:lineRule="auto"/>
        <w:jc w:val="both"/>
        <w:rPr>
          <w:rFonts w:cs="Helvetica"/>
          <w:spacing w:val="2"/>
          <w:lang w:val="fr-BE"/>
        </w:rPr>
      </w:pPr>
    </w:p>
    <w:p w:rsidR="00EB4803" w:rsidRPr="00EB4803" w:rsidRDefault="00EB4803" w:rsidP="0056414A">
      <w:pPr>
        <w:spacing w:line="276" w:lineRule="auto"/>
        <w:jc w:val="both"/>
        <w:rPr>
          <w:rFonts w:cs="Helvetica"/>
          <w:b/>
          <w:i/>
          <w:spacing w:val="2"/>
          <w:lang w:val="fr-BE"/>
        </w:rPr>
      </w:pPr>
      <w:r w:rsidRPr="00EB4803">
        <w:rPr>
          <w:rFonts w:cs="Helvetica"/>
          <w:b/>
          <w:i/>
          <w:spacing w:val="2"/>
          <w:lang w:val="fr-BE"/>
        </w:rPr>
        <w:t>L’Atelier national de sensibilisation des acteurs</w:t>
      </w:r>
    </w:p>
    <w:p w:rsidR="00EB4803" w:rsidRDefault="00EB4803" w:rsidP="0056414A">
      <w:pPr>
        <w:spacing w:line="276" w:lineRule="auto"/>
        <w:jc w:val="both"/>
        <w:rPr>
          <w:rFonts w:cs="Helvetica"/>
          <w:spacing w:val="2"/>
          <w:lang w:val="fr-BE"/>
        </w:rPr>
      </w:pPr>
    </w:p>
    <w:p w:rsidR="00EB4803" w:rsidRDefault="00EB4803" w:rsidP="0056414A">
      <w:pPr>
        <w:spacing w:line="276" w:lineRule="auto"/>
        <w:jc w:val="both"/>
        <w:rPr>
          <w:rFonts w:cs="Helvetica"/>
          <w:spacing w:val="2"/>
          <w:lang w:val="fr-BE"/>
        </w:rPr>
      </w:pPr>
      <w:r w:rsidRPr="00EB4803">
        <w:rPr>
          <w:rFonts w:cs="Helvetica"/>
          <w:spacing w:val="2"/>
          <w:lang w:val="fr-BE"/>
        </w:rPr>
        <w:t>Aussi, l</w:t>
      </w:r>
      <w:r w:rsidR="001809A5" w:rsidRPr="00EB4803">
        <w:rPr>
          <w:rFonts w:cs="Helvetica"/>
          <w:spacing w:val="2"/>
          <w:lang w:val="fr-BE"/>
        </w:rPr>
        <w:t>e 15 décembre 2014, s’est déroulé dans la salle de réunion</w:t>
      </w:r>
      <w:r w:rsidR="00CF4612" w:rsidRPr="00EB4803">
        <w:rPr>
          <w:rFonts w:cs="Helvetica"/>
          <w:spacing w:val="2"/>
          <w:lang w:val="fr-BE"/>
        </w:rPr>
        <w:t xml:space="preserve"> </w:t>
      </w:r>
      <w:r w:rsidR="001809A5" w:rsidRPr="00EB4803">
        <w:rPr>
          <w:rFonts w:cs="Helvetica"/>
          <w:spacing w:val="2"/>
          <w:lang w:val="fr-BE"/>
        </w:rPr>
        <w:t xml:space="preserve">du </w:t>
      </w:r>
      <w:proofErr w:type="spellStart"/>
      <w:r w:rsidR="001809A5" w:rsidRPr="00EB4803">
        <w:rPr>
          <w:rFonts w:cs="Helvetica"/>
          <w:spacing w:val="2"/>
          <w:lang w:val="fr-BE"/>
        </w:rPr>
        <w:t>Liptako</w:t>
      </w:r>
      <w:proofErr w:type="spellEnd"/>
      <w:r w:rsidR="001809A5" w:rsidRPr="00EB4803">
        <w:rPr>
          <w:rFonts w:cs="Helvetica"/>
          <w:spacing w:val="2"/>
          <w:lang w:val="fr-BE"/>
        </w:rPr>
        <w:t>-Gourma</w:t>
      </w:r>
      <w:r w:rsidR="00D45D14" w:rsidRPr="00EB4803">
        <w:rPr>
          <w:rFonts w:cs="Helvetica"/>
          <w:spacing w:val="2"/>
          <w:lang w:val="fr-BE"/>
        </w:rPr>
        <w:t xml:space="preserve">, à Ouagadougou, l’atelier national d’information et de sensibilisation des acteurs clés sur l’importance du CHM et de leur implication dans sa mise en œuvre. Placé sous la coordination de la Convention sur la Diversité Biologique (CDB) au Secrétariat Permanent du Conseil National pour l’Environnement et du Développement Durable (SP/CONEDD), l’atelier a regroupé une quarantaine de participants composés des cadres du Ministère de l’Environnement et des Ressources Halieutiques et ceux du SP/CONEDD(Secrétariat Général, CTP, Chefs de division, représentants des projets et programmes du </w:t>
      </w:r>
      <w:r w:rsidR="00566A91" w:rsidRPr="00EB4803">
        <w:rPr>
          <w:rFonts w:cs="Helvetica"/>
          <w:spacing w:val="2"/>
          <w:lang w:val="fr-BE"/>
        </w:rPr>
        <w:t>SP/CONEDD, des points focaux en matière d’environnement, des représentants des structures techniques et des personnes ressources en matière de biodiversité (Cf. liste de participants en annexe).</w:t>
      </w:r>
      <w:r w:rsidR="005A6780" w:rsidRPr="00EB4803">
        <w:rPr>
          <w:rFonts w:cs="Helvetica"/>
          <w:spacing w:val="2"/>
          <w:lang w:val="fr-BE"/>
        </w:rPr>
        <w:t xml:space="preserve"> </w:t>
      </w:r>
    </w:p>
    <w:p w:rsidR="00860324" w:rsidRPr="00EB4803" w:rsidRDefault="005A6780" w:rsidP="00EB4803">
      <w:pPr>
        <w:spacing w:line="276" w:lineRule="auto"/>
        <w:jc w:val="both"/>
        <w:rPr>
          <w:rFonts w:cs="Helvetica"/>
          <w:spacing w:val="2"/>
          <w:lang w:val="fr-BE"/>
        </w:rPr>
      </w:pPr>
      <w:r w:rsidRPr="00EB4803">
        <w:rPr>
          <w:rFonts w:cs="Helvetica"/>
          <w:spacing w:val="2"/>
          <w:lang w:val="fr-BE"/>
        </w:rPr>
        <w:t>Cet atelier avait pour objectif global de permettre au SP/CONEDD</w:t>
      </w:r>
      <w:r w:rsidR="002C3CBA" w:rsidRPr="00EB4803">
        <w:rPr>
          <w:rFonts w:cs="Helvetica"/>
          <w:spacing w:val="2"/>
          <w:lang w:val="fr-BE"/>
        </w:rPr>
        <w:t xml:space="preserve"> </w:t>
      </w:r>
      <w:r w:rsidRPr="00EB4803">
        <w:rPr>
          <w:rFonts w:cs="Helvetica"/>
          <w:spacing w:val="2"/>
          <w:lang w:val="fr-BE"/>
        </w:rPr>
        <w:t>d’informer et de sensibiliser les tous les acteurs clés en matière de biodiversité sur l’importance du CHM et de formuler leur implication dans sa mise en œuvre</w:t>
      </w:r>
    </w:p>
    <w:p w:rsidR="002C3CBA" w:rsidRDefault="002C3CBA" w:rsidP="0011388F">
      <w:pPr>
        <w:rPr>
          <w:b/>
          <w:sz w:val="28"/>
        </w:rPr>
      </w:pPr>
    </w:p>
    <w:p w:rsidR="00597DC7" w:rsidRPr="00EB4803" w:rsidRDefault="00EB4803" w:rsidP="00EB4803">
      <w:pPr>
        <w:spacing w:line="276" w:lineRule="auto"/>
        <w:jc w:val="both"/>
        <w:rPr>
          <w:rFonts w:cs="Helvetica"/>
          <w:b/>
          <w:i/>
          <w:spacing w:val="2"/>
          <w:lang w:val="fr-BE"/>
        </w:rPr>
      </w:pPr>
      <w:r w:rsidRPr="00EB4803">
        <w:rPr>
          <w:rFonts w:cs="Helvetica"/>
          <w:b/>
          <w:i/>
          <w:spacing w:val="2"/>
          <w:lang w:val="fr-BE"/>
        </w:rPr>
        <w:t>Des recommandations faites </w:t>
      </w:r>
    </w:p>
    <w:p w:rsidR="0056414A" w:rsidRDefault="0056414A" w:rsidP="0056414A"/>
    <w:p w:rsidR="0056414A" w:rsidRDefault="0056414A" w:rsidP="0056414A">
      <w:pPr>
        <w:jc w:val="both"/>
        <w:rPr>
          <w:rFonts w:eastAsia="Calibri"/>
        </w:rPr>
      </w:pPr>
      <w:r w:rsidRPr="001840D9">
        <w:rPr>
          <w:rFonts w:eastAsia="Calibri"/>
        </w:rPr>
        <w:t>A l’issu</w:t>
      </w:r>
      <w:r>
        <w:rPr>
          <w:rFonts w:eastAsia="Calibri"/>
        </w:rPr>
        <w:t>e</w:t>
      </w:r>
      <w:r w:rsidRPr="001840D9">
        <w:rPr>
          <w:rFonts w:eastAsia="Calibri"/>
        </w:rPr>
        <w:t xml:space="preserve"> des séances de travail, les suggestions suivantes ont été faites par les participants </w:t>
      </w:r>
      <w:r>
        <w:t xml:space="preserve">pour améliorer la prise en compte des questions de biodiversité dans projets et programmes, et une meilleure visibilité et fonctionnement du CHM : </w:t>
      </w:r>
    </w:p>
    <w:p w:rsidR="0056414A" w:rsidRPr="00BF1CD0" w:rsidRDefault="0056414A" w:rsidP="0056414A">
      <w:pPr>
        <w:pStyle w:val="Paragraphedeliste"/>
        <w:numPr>
          <w:ilvl w:val="0"/>
          <w:numId w:val="15"/>
        </w:numPr>
        <w:suppressAutoHyphens w:val="0"/>
        <w:spacing w:line="276" w:lineRule="auto"/>
        <w:jc w:val="both"/>
      </w:pPr>
      <w:r>
        <w:t xml:space="preserve">Dans un cadre global, élaborer une stratégie nationale de communication intégrative de sorte qu’elle puisse être la locomotive des défis circonscrits pour le compte de la diversité biologique et ses composantes ; </w:t>
      </w:r>
    </w:p>
    <w:p w:rsidR="0056414A" w:rsidRPr="007C6723" w:rsidRDefault="0056414A" w:rsidP="0056414A">
      <w:pPr>
        <w:pStyle w:val="Paragraphedeliste"/>
        <w:numPr>
          <w:ilvl w:val="0"/>
          <w:numId w:val="15"/>
        </w:numPr>
        <w:suppressAutoHyphens w:val="0"/>
        <w:spacing w:line="276" w:lineRule="auto"/>
        <w:jc w:val="both"/>
      </w:pPr>
      <w:r>
        <w:t>Entreprendre des actions ponctuelles pour assurer la visibilité du site CHM méconnu du grand public ;</w:t>
      </w:r>
    </w:p>
    <w:p w:rsidR="0056414A" w:rsidRPr="008A764D" w:rsidRDefault="0056414A" w:rsidP="0056414A">
      <w:pPr>
        <w:pStyle w:val="Paragraphedeliste"/>
        <w:numPr>
          <w:ilvl w:val="0"/>
          <w:numId w:val="15"/>
        </w:numPr>
        <w:suppressAutoHyphens w:val="0"/>
        <w:spacing w:line="276" w:lineRule="auto"/>
        <w:jc w:val="both"/>
      </w:pPr>
      <w:r>
        <w:t>Créer une synergie en formulant un lien directe entre les différents centres d’échange d’informations fonctionnelles pour le partage d’expériences ;</w:t>
      </w:r>
    </w:p>
    <w:p w:rsidR="0056414A" w:rsidRPr="00BF1CD0" w:rsidRDefault="0056414A" w:rsidP="0056414A">
      <w:pPr>
        <w:pStyle w:val="Paragraphedeliste"/>
        <w:numPr>
          <w:ilvl w:val="0"/>
          <w:numId w:val="15"/>
        </w:numPr>
        <w:suppressAutoHyphens w:val="0"/>
        <w:spacing w:line="276" w:lineRule="auto"/>
        <w:jc w:val="both"/>
      </w:pPr>
      <w:r>
        <w:t>Prendre des dispositions en adressant des correspondances aux structures identifiées pour qu’à leur tour, elles puissent procéder à la désignation des acteurs contributeurs de leur entité ;</w:t>
      </w:r>
    </w:p>
    <w:p w:rsidR="0056414A" w:rsidRPr="00006A83" w:rsidRDefault="0056414A" w:rsidP="0056414A">
      <w:pPr>
        <w:pStyle w:val="Paragraphedeliste"/>
        <w:numPr>
          <w:ilvl w:val="0"/>
          <w:numId w:val="15"/>
        </w:numPr>
        <w:suppressAutoHyphens w:val="0"/>
        <w:spacing w:line="276" w:lineRule="auto"/>
        <w:jc w:val="both"/>
      </w:pPr>
      <w:r>
        <w:t xml:space="preserve">A la formation des contributeurs sur l’alimentation du site CHM, </w:t>
      </w:r>
      <w:proofErr w:type="gramStart"/>
      <w:r>
        <w:t>veiller</w:t>
      </w:r>
      <w:proofErr w:type="gramEnd"/>
      <w:r>
        <w:t xml:space="preserve"> à impliquer plus d’un participant par structure désignée ;</w:t>
      </w:r>
    </w:p>
    <w:p w:rsidR="0056414A" w:rsidRPr="00006A83" w:rsidRDefault="0056414A" w:rsidP="0056414A">
      <w:pPr>
        <w:pStyle w:val="Paragraphedeliste"/>
        <w:numPr>
          <w:ilvl w:val="0"/>
          <w:numId w:val="15"/>
        </w:numPr>
        <w:suppressAutoHyphens w:val="0"/>
        <w:spacing w:line="276" w:lineRule="auto"/>
        <w:jc w:val="both"/>
      </w:pPr>
      <w:r>
        <w:lastRenderedPageBreak/>
        <w:t>Prendre des dispositions pour accompagner les contributeurs une fois formés à assurer le relai au niveau de leur service ;</w:t>
      </w:r>
    </w:p>
    <w:p w:rsidR="0056414A" w:rsidRPr="009C1C53" w:rsidRDefault="0056414A" w:rsidP="0056414A">
      <w:pPr>
        <w:pStyle w:val="Paragraphedeliste"/>
        <w:numPr>
          <w:ilvl w:val="0"/>
          <w:numId w:val="15"/>
        </w:numPr>
        <w:suppressAutoHyphens w:val="0"/>
        <w:spacing w:line="276" w:lineRule="auto"/>
        <w:jc w:val="both"/>
        <w:rPr>
          <w:rFonts w:eastAsia="Calibri"/>
        </w:rPr>
      </w:pPr>
      <w:r>
        <w:t xml:space="preserve">Entreprendre le renforcement des capacités au profit des acteurs clés tels que les enseignants du secondaire, primaire et écoles professionnelles ; </w:t>
      </w:r>
    </w:p>
    <w:p w:rsidR="0056414A" w:rsidRPr="001840D9" w:rsidRDefault="0056414A" w:rsidP="0056414A">
      <w:pPr>
        <w:pStyle w:val="Paragraphedeliste"/>
        <w:numPr>
          <w:ilvl w:val="0"/>
          <w:numId w:val="15"/>
        </w:numPr>
        <w:suppressAutoHyphens w:val="0"/>
        <w:spacing w:line="276" w:lineRule="auto"/>
        <w:jc w:val="both"/>
        <w:rPr>
          <w:rFonts w:eastAsia="Calibri"/>
        </w:rPr>
      </w:pPr>
      <w:r w:rsidRPr="001840D9">
        <w:rPr>
          <w:rFonts w:eastAsia="Calibri"/>
        </w:rPr>
        <w:t xml:space="preserve">Mettre en place un cadre de communication dynamique entre les </w:t>
      </w:r>
      <w:r>
        <w:t>contributeurs.</w:t>
      </w:r>
    </w:p>
    <w:p w:rsidR="0056414A" w:rsidRPr="001840D9" w:rsidRDefault="0056414A" w:rsidP="0056414A">
      <w:pPr>
        <w:jc w:val="both"/>
        <w:rPr>
          <w:rFonts w:eastAsia="Calibri"/>
        </w:rPr>
      </w:pPr>
    </w:p>
    <w:p w:rsidR="00077305" w:rsidRDefault="00077305" w:rsidP="0056414A">
      <w:pPr>
        <w:spacing w:line="360" w:lineRule="auto"/>
        <w:ind w:right="72"/>
        <w:jc w:val="both"/>
      </w:pPr>
    </w:p>
    <w:p w:rsidR="002C3CBA" w:rsidRPr="00EB4803" w:rsidRDefault="00EB4803" w:rsidP="00EB4803">
      <w:pPr>
        <w:spacing w:line="276" w:lineRule="auto"/>
        <w:jc w:val="both"/>
        <w:rPr>
          <w:rFonts w:cs="Helvetica"/>
          <w:b/>
          <w:i/>
          <w:spacing w:val="2"/>
          <w:lang w:val="fr-BE"/>
        </w:rPr>
      </w:pPr>
      <w:r>
        <w:rPr>
          <w:rFonts w:cs="Helvetica"/>
          <w:b/>
          <w:i/>
          <w:spacing w:val="2"/>
          <w:lang w:val="fr-BE"/>
        </w:rPr>
        <w:t>De l</w:t>
      </w:r>
      <w:r w:rsidRPr="00EB4803">
        <w:rPr>
          <w:rFonts w:cs="Helvetica"/>
          <w:b/>
          <w:i/>
          <w:spacing w:val="2"/>
          <w:lang w:val="fr-BE"/>
        </w:rPr>
        <w:t xml:space="preserve">a </w:t>
      </w:r>
      <w:r w:rsidR="00C338A9">
        <w:rPr>
          <w:rFonts w:cs="Helvetica"/>
          <w:b/>
          <w:i/>
          <w:spacing w:val="2"/>
          <w:lang w:val="fr-BE"/>
        </w:rPr>
        <w:t>rencontre de cadrage</w:t>
      </w:r>
    </w:p>
    <w:p w:rsidR="00C338A9" w:rsidRDefault="00C338A9" w:rsidP="00647512">
      <w:pPr>
        <w:jc w:val="both"/>
      </w:pPr>
    </w:p>
    <w:p w:rsidR="00647512" w:rsidRDefault="00647512" w:rsidP="00647512">
      <w:pPr>
        <w:jc w:val="both"/>
        <w:rPr>
          <w:rFonts w:cs="Helvetica"/>
          <w:spacing w:val="2"/>
          <w:sz w:val="26"/>
          <w:szCs w:val="26"/>
          <w:lang w:val="fr-BE"/>
        </w:rPr>
      </w:pPr>
      <w:r>
        <w:t>Dans le cadre de l’engagement du SP/CONEDD à exécuter le point 2 du contrat CHM intitulé « </w:t>
      </w:r>
      <w:r>
        <w:rPr>
          <w:rFonts w:cs="Helvetica"/>
          <w:b/>
          <w:spacing w:val="2"/>
          <w:sz w:val="26"/>
          <w:szCs w:val="26"/>
          <w:lang w:val="fr-BE"/>
        </w:rPr>
        <w:t>Activité 2 (A2) : Collecte et formalisation de données pour les sections à créer / améliorer dans le cadre du projet »</w:t>
      </w:r>
      <w:r>
        <w:rPr>
          <w:rFonts w:cs="Helvetica"/>
          <w:spacing w:val="2"/>
          <w:sz w:val="26"/>
          <w:szCs w:val="26"/>
          <w:lang w:val="fr-BE"/>
        </w:rPr>
        <w:t>, le SP/CONEDD a organisé une rencontre de cadrage des différents points relevant de la mission de collecte à cet effet.</w:t>
      </w:r>
    </w:p>
    <w:p w:rsidR="00647512" w:rsidRDefault="00647512" w:rsidP="00647512">
      <w:pPr>
        <w:jc w:val="both"/>
        <w:rPr>
          <w:rFonts w:cs="Helvetica"/>
          <w:spacing w:val="2"/>
          <w:sz w:val="26"/>
          <w:szCs w:val="26"/>
          <w:lang w:val="fr-BE"/>
        </w:rPr>
      </w:pPr>
      <w:r>
        <w:rPr>
          <w:rFonts w:cs="Helvetica"/>
          <w:spacing w:val="2"/>
          <w:sz w:val="26"/>
          <w:szCs w:val="26"/>
          <w:lang w:val="fr-BE"/>
        </w:rPr>
        <w:t>La réunion permettra aux acteurs de la Convention sur la diversité biologique du CONEDD, d’identifier les structures potentielles détentrices de données, et également de définir le type de données à collecter auprès des partenaires.</w:t>
      </w:r>
    </w:p>
    <w:p w:rsidR="00647512" w:rsidRDefault="00647512" w:rsidP="00647512">
      <w:pPr>
        <w:jc w:val="both"/>
        <w:rPr>
          <w:rFonts w:cs="Helvetica"/>
          <w:spacing w:val="2"/>
          <w:sz w:val="26"/>
          <w:szCs w:val="26"/>
          <w:lang w:val="fr-BE"/>
        </w:rPr>
      </w:pPr>
    </w:p>
    <w:p w:rsidR="00647512" w:rsidRPr="00F21A00" w:rsidRDefault="00647512" w:rsidP="00647512">
      <w:pPr>
        <w:jc w:val="both"/>
        <w:rPr>
          <w:rFonts w:cs="Helvetica"/>
          <w:spacing w:val="2"/>
          <w:sz w:val="26"/>
          <w:szCs w:val="26"/>
          <w:lang w:val="fr-BE"/>
        </w:rPr>
      </w:pPr>
      <w:r>
        <w:rPr>
          <w:rFonts w:cs="Helvetica"/>
          <w:spacing w:val="2"/>
          <w:sz w:val="26"/>
          <w:szCs w:val="26"/>
          <w:lang w:val="fr-BE"/>
        </w:rPr>
        <w:t xml:space="preserve">La rencontre a regroupé les membres de l’équipe de la convention sur la diversité biologique, et s’est tenu dans la salle de réunion du SP/CONEDD le jeudi </w:t>
      </w:r>
      <w:r>
        <w:rPr>
          <w:rFonts w:cs="Helvetica"/>
          <w:b/>
          <w:spacing w:val="2"/>
          <w:sz w:val="26"/>
          <w:szCs w:val="26"/>
          <w:lang w:val="fr-BE"/>
        </w:rPr>
        <w:t>9</w:t>
      </w:r>
      <w:r w:rsidRPr="00EC1895">
        <w:rPr>
          <w:rFonts w:cs="Helvetica"/>
          <w:b/>
          <w:spacing w:val="2"/>
          <w:sz w:val="26"/>
          <w:szCs w:val="26"/>
          <w:lang w:val="fr-BE"/>
        </w:rPr>
        <w:t xml:space="preserve"> février 2015</w:t>
      </w:r>
      <w:r>
        <w:rPr>
          <w:rFonts w:cs="Helvetica"/>
          <w:spacing w:val="2"/>
          <w:sz w:val="26"/>
          <w:szCs w:val="26"/>
          <w:lang w:val="fr-BE"/>
        </w:rPr>
        <w:t xml:space="preserve"> à </w:t>
      </w:r>
      <w:r w:rsidRPr="00EC1895">
        <w:rPr>
          <w:rFonts w:cs="Helvetica"/>
          <w:b/>
          <w:spacing w:val="2"/>
          <w:sz w:val="26"/>
          <w:szCs w:val="26"/>
          <w:lang w:val="fr-BE"/>
        </w:rPr>
        <w:t>15h00</w:t>
      </w:r>
      <w:r>
        <w:rPr>
          <w:rFonts w:cs="Helvetica"/>
          <w:spacing w:val="2"/>
          <w:sz w:val="26"/>
          <w:szCs w:val="26"/>
          <w:lang w:val="fr-BE"/>
        </w:rPr>
        <w:t>.</w:t>
      </w:r>
    </w:p>
    <w:p w:rsidR="00647512" w:rsidRDefault="00647512" w:rsidP="00647512">
      <w:pPr>
        <w:jc w:val="both"/>
        <w:rPr>
          <w:rFonts w:cs="Helvetica"/>
          <w:spacing w:val="2"/>
          <w:sz w:val="26"/>
          <w:szCs w:val="26"/>
          <w:lang w:val="fr-BE"/>
        </w:rPr>
      </w:pPr>
    </w:p>
    <w:p w:rsidR="00647512" w:rsidRPr="00F21A00" w:rsidRDefault="00647512" w:rsidP="00EB4803">
      <w:pPr>
        <w:pStyle w:val="Paragraphedeliste"/>
        <w:suppressAutoHyphens w:val="0"/>
        <w:spacing w:after="160" w:line="259" w:lineRule="auto"/>
        <w:ind w:left="1080"/>
        <w:jc w:val="both"/>
        <w:rPr>
          <w:rFonts w:cs="Helvetica"/>
          <w:b/>
          <w:spacing w:val="2"/>
          <w:sz w:val="26"/>
          <w:szCs w:val="26"/>
          <w:lang w:val="fr-BE"/>
        </w:rPr>
      </w:pPr>
      <w:r>
        <w:rPr>
          <w:rFonts w:cs="Helvetica"/>
          <w:b/>
          <w:spacing w:val="2"/>
          <w:sz w:val="26"/>
          <w:szCs w:val="26"/>
          <w:lang w:val="fr-BE"/>
        </w:rPr>
        <w:t>Structures à rencontrer</w:t>
      </w:r>
      <w:r w:rsidRPr="00F21A00">
        <w:rPr>
          <w:rFonts w:cs="Helvetica"/>
          <w:b/>
          <w:spacing w:val="2"/>
          <w:sz w:val="26"/>
          <w:szCs w:val="26"/>
          <w:lang w:val="fr-BE"/>
        </w:rPr>
        <w:t> :</w:t>
      </w:r>
    </w:p>
    <w:p w:rsidR="00647512" w:rsidRDefault="00647512" w:rsidP="00647512">
      <w:pPr>
        <w:jc w:val="both"/>
        <w:rPr>
          <w:rFonts w:cs="Helvetica"/>
          <w:spacing w:val="2"/>
          <w:sz w:val="26"/>
          <w:szCs w:val="26"/>
          <w:lang w:val="fr-BE"/>
        </w:rPr>
      </w:pPr>
    </w:p>
    <w:tbl>
      <w:tblPr>
        <w:tblStyle w:val="Grilledutableau"/>
        <w:tblW w:w="0" w:type="auto"/>
        <w:tblLook w:val="04A0"/>
      </w:tblPr>
      <w:tblGrid>
        <w:gridCol w:w="1809"/>
        <w:gridCol w:w="4906"/>
      </w:tblGrid>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rPr>
                <w:szCs w:val="24"/>
              </w:rPr>
            </w:pPr>
            <w:r w:rsidRPr="0097536D">
              <w:t>SP/CONAGREP- MRSI</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rPr>
                <w:szCs w:val="24"/>
              </w:rPr>
            </w:pPr>
            <w:r w:rsidRPr="0097536D">
              <w:t>NATURAMA</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r w:rsidRPr="0097536D">
              <w:t>OFINAP/MERH</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r w:rsidRPr="0097536D">
              <w:t>CNSF/MERH</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ind w:firstLine="708"/>
              <w:jc w:val="center"/>
            </w:pPr>
            <w:proofErr w:type="spellStart"/>
            <w:r w:rsidRPr="0097536D">
              <w:t>Labev</w:t>
            </w:r>
            <w:proofErr w:type="spellEnd"/>
            <w:r w:rsidRPr="0097536D">
              <w:t>/UO</w:t>
            </w:r>
          </w:p>
        </w:tc>
      </w:tr>
      <w:tr w:rsidR="00647512" w:rsidRPr="0097536D" w:rsidTr="007018D8">
        <w:tc>
          <w:tcPr>
            <w:tcW w:w="1809" w:type="dxa"/>
          </w:tcPr>
          <w:p w:rsidR="00647512" w:rsidRPr="0097536D" w:rsidRDefault="00647512" w:rsidP="00647512">
            <w:pPr>
              <w:pStyle w:val="Paragraphedeliste"/>
              <w:numPr>
                <w:ilvl w:val="0"/>
                <w:numId w:val="20"/>
              </w:numPr>
              <w:tabs>
                <w:tab w:val="left" w:pos="1267"/>
              </w:tabs>
              <w:suppressAutoHyphens w:val="0"/>
            </w:pPr>
          </w:p>
        </w:tc>
        <w:tc>
          <w:tcPr>
            <w:tcW w:w="4906" w:type="dxa"/>
          </w:tcPr>
          <w:p w:rsidR="00647512" w:rsidRPr="0097536D" w:rsidRDefault="00647512" w:rsidP="007018D8">
            <w:pPr>
              <w:tabs>
                <w:tab w:val="left" w:pos="1267"/>
              </w:tabs>
              <w:jc w:val="center"/>
            </w:pPr>
            <w:proofErr w:type="spellStart"/>
            <w:r w:rsidRPr="0097536D">
              <w:t>DiFor</w:t>
            </w:r>
            <w:proofErr w:type="spellEnd"/>
            <w:r w:rsidRPr="0097536D">
              <w:t>/MERH</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r w:rsidRPr="0097536D">
              <w:t xml:space="preserve">SIC </w:t>
            </w:r>
            <w:proofErr w:type="spellStart"/>
            <w:r w:rsidRPr="0097536D">
              <w:t>Tampuy</w:t>
            </w:r>
            <w:proofErr w:type="spellEnd"/>
          </w:p>
        </w:tc>
      </w:tr>
      <w:tr w:rsidR="00647512" w:rsidRPr="0097536D" w:rsidTr="007018D8">
        <w:tc>
          <w:tcPr>
            <w:tcW w:w="1809" w:type="dxa"/>
          </w:tcPr>
          <w:p w:rsidR="00647512" w:rsidRPr="0097536D" w:rsidRDefault="00647512" w:rsidP="00647512">
            <w:pPr>
              <w:pStyle w:val="Paragraphedeliste"/>
              <w:numPr>
                <w:ilvl w:val="0"/>
                <w:numId w:val="20"/>
              </w:numPr>
              <w:tabs>
                <w:tab w:val="left" w:pos="1002"/>
              </w:tabs>
              <w:suppressAutoHyphens w:val="0"/>
            </w:pPr>
          </w:p>
        </w:tc>
        <w:tc>
          <w:tcPr>
            <w:tcW w:w="4906" w:type="dxa"/>
          </w:tcPr>
          <w:p w:rsidR="00647512" w:rsidRPr="0097536D" w:rsidRDefault="00647512" w:rsidP="007018D8">
            <w:pPr>
              <w:tabs>
                <w:tab w:val="left" w:pos="1002"/>
              </w:tabs>
              <w:jc w:val="center"/>
            </w:pPr>
            <w:r w:rsidRPr="0097536D">
              <w:t>INERA/DPF</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r w:rsidRPr="0097536D">
              <w:t>DFC/DGFF</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ind w:firstLine="708"/>
              <w:jc w:val="center"/>
            </w:pPr>
            <w:r w:rsidRPr="0097536D">
              <w:t>ARSN/MERH</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r w:rsidRPr="0097536D">
              <w:t>DFC/MERH</w:t>
            </w:r>
          </w:p>
        </w:tc>
      </w:tr>
      <w:tr w:rsidR="00647512" w:rsidRPr="0097536D" w:rsidTr="007018D8">
        <w:tc>
          <w:tcPr>
            <w:tcW w:w="1809" w:type="dxa"/>
          </w:tcPr>
          <w:p w:rsidR="00647512" w:rsidRPr="0097536D"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r w:rsidRPr="0097536D">
              <w:t>ANB/MRSI</w:t>
            </w:r>
          </w:p>
        </w:tc>
      </w:tr>
      <w:tr w:rsidR="00647512" w:rsidRPr="0097536D" w:rsidTr="007018D8">
        <w:tc>
          <w:tcPr>
            <w:tcW w:w="1809" w:type="dxa"/>
          </w:tcPr>
          <w:p w:rsidR="00647512"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r>
              <w:t>DGFF/MERH</w:t>
            </w:r>
          </w:p>
        </w:tc>
      </w:tr>
      <w:tr w:rsidR="00647512" w:rsidRPr="0097536D" w:rsidTr="007018D8">
        <w:tc>
          <w:tcPr>
            <w:tcW w:w="1809" w:type="dxa"/>
          </w:tcPr>
          <w:p w:rsidR="00647512" w:rsidRDefault="00647512" w:rsidP="00647512">
            <w:pPr>
              <w:pStyle w:val="Paragraphedeliste"/>
              <w:numPr>
                <w:ilvl w:val="0"/>
                <w:numId w:val="20"/>
              </w:numPr>
              <w:tabs>
                <w:tab w:val="left" w:pos="7245"/>
              </w:tabs>
              <w:suppressAutoHyphens w:val="0"/>
            </w:pPr>
          </w:p>
        </w:tc>
        <w:tc>
          <w:tcPr>
            <w:tcW w:w="4906" w:type="dxa"/>
          </w:tcPr>
          <w:p w:rsidR="00647512" w:rsidRPr="0097536D" w:rsidRDefault="00647512" w:rsidP="007018D8">
            <w:pPr>
              <w:tabs>
                <w:tab w:val="left" w:pos="7245"/>
              </w:tabs>
              <w:jc w:val="center"/>
            </w:pPr>
            <w:proofErr w:type="spellStart"/>
            <w:r>
              <w:t>DiGF</w:t>
            </w:r>
            <w:proofErr w:type="spellEnd"/>
            <w:r>
              <w:t>/MERH</w:t>
            </w:r>
          </w:p>
        </w:tc>
      </w:tr>
      <w:tr w:rsidR="00647512" w:rsidTr="007018D8">
        <w:tc>
          <w:tcPr>
            <w:tcW w:w="1809" w:type="dxa"/>
          </w:tcPr>
          <w:p w:rsidR="00647512" w:rsidRPr="00013B5C" w:rsidRDefault="00647512" w:rsidP="00647512">
            <w:pPr>
              <w:pStyle w:val="Paragraphedeliste"/>
              <w:numPr>
                <w:ilvl w:val="0"/>
                <w:numId w:val="20"/>
              </w:numPr>
              <w:tabs>
                <w:tab w:val="left" w:pos="7245"/>
              </w:tabs>
              <w:suppressAutoHyphens w:val="0"/>
            </w:pPr>
          </w:p>
        </w:tc>
        <w:tc>
          <w:tcPr>
            <w:tcW w:w="4906" w:type="dxa"/>
          </w:tcPr>
          <w:p w:rsidR="00647512" w:rsidRDefault="00647512" w:rsidP="007018D8">
            <w:pPr>
              <w:tabs>
                <w:tab w:val="left" w:pos="7245"/>
              </w:tabs>
              <w:jc w:val="center"/>
            </w:pPr>
            <w:r w:rsidRPr="00013B5C">
              <w:t>UFR/SVT</w:t>
            </w:r>
          </w:p>
        </w:tc>
      </w:tr>
      <w:tr w:rsidR="00647512" w:rsidTr="007018D8">
        <w:tc>
          <w:tcPr>
            <w:tcW w:w="1809" w:type="dxa"/>
          </w:tcPr>
          <w:p w:rsidR="00647512" w:rsidRPr="00FE6719" w:rsidRDefault="00647512" w:rsidP="00647512">
            <w:pPr>
              <w:pStyle w:val="Paragraphedeliste"/>
              <w:numPr>
                <w:ilvl w:val="0"/>
                <w:numId w:val="20"/>
              </w:numPr>
              <w:tabs>
                <w:tab w:val="left" w:pos="7245"/>
              </w:tabs>
              <w:suppressAutoHyphens w:val="0"/>
              <w:rPr>
                <w:rFonts w:cs="Times"/>
              </w:rPr>
            </w:pPr>
          </w:p>
        </w:tc>
        <w:tc>
          <w:tcPr>
            <w:tcW w:w="4906" w:type="dxa"/>
          </w:tcPr>
          <w:p w:rsidR="00647512" w:rsidRDefault="00647512" w:rsidP="007018D8">
            <w:pPr>
              <w:tabs>
                <w:tab w:val="left" w:pos="7245"/>
              </w:tabs>
              <w:jc w:val="center"/>
            </w:pPr>
            <w:r w:rsidRPr="00E512AE">
              <w:rPr>
                <w:rFonts w:cs="Times"/>
              </w:rPr>
              <w:t>APFNL</w:t>
            </w:r>
          </w:p>
        </w:tc>
      </w:tr>
    </w:tbl>
    <w:p w:rsidR="00647512" w:rsidRDefault="00647512" w:rsidP="00647512">
      <w:pPr>
        <w:jc w:val="both"/>
      </w:pPr>
    </w:p>
    <w:p w:rsidR="00647512" w:rsidRPr="002A2618" w:rsidRDefault="00647512" w:rsidP="00647512">
      <w:pPr>
        <w:pStyle w:val="Paragraphedeliste"/>
        <w:ind w:left="1080"/>
        <w:jc w:val="both"/>
        <w:rPr>
          <w:b/>
        </w:rPr>
      </w:pPr>
    </w:p>
    <w:p w:rsidR="00647512" w:rsidRPr="00C338A9" w:rsidRDefault="00C338A9" w:rsidP="00C338A9">
      <w:pPr>
        <w:spacing w:line="276" w:lineRule="auto"/>
        <w:rPr>
          <w:rFonts w:cs="Helvetica"/>
          <w:b/>
          <w:i/>
          <w:spacing w:val="2"/>
          <w:lang w:val="fr-BE"/>
        </w:rPr>
      </w:pPr>
      <w:r w:rsidRPr="00C338A9">
        <w:rPr>
          <w:rFonts w:cs="Helvetica"/>
          <w:b/>
          <w:i/>
          <w:spacing w:val="2"/>
          <w:lang w:val="fr-BE"/>
        </w:rPr>
        <w:lastRenderedPageBreak/>
        <w:t>De la collecte des données</w:t>
      </w:r>
      <w:r w:rsidR="00647512" w:rsidRPr="00C338A9">
        <w:rPr>
          <w:rFonts w:cs="Helvetica"/>
          <w:b/>
          <w:i/>
          <w:spacing w:val="2"/>
          <w:lang w:val="fr-BE"/>
        </w:rPr>
        <w:br w:type="textWrapping" w:clear="all"/>
      </w:r>
    </w:p>
    <w:p w:rsidR="000D6780" w:rsidRDefault="000D6780" w:rsidP="000D6780">
      <w:pPr>
        <w:spacing w:line="360" w:lineRule="auto"/>
        <w:jc w:val="both"/>
      </w:pPr>
      <w:r>
        <w:t>Après la tenue de l’atelier d’i</w:t>
      </w:r>
      <w:r w:rsidRPr="008B1872">
        <w:t xml:space="preserve">nformation et sensibilisation des parties prenantes sur l’importance du CHM et de leur implication dans sa mise en œuvre, </w:t>
      </w:r>
      <w:r>
        <w:t>le point focal CHM et le groupe de travail de la diversité biologique a entrepris la deuxième activité intitulée « mission de c</w:t>
      </w:r>
      <w:r w:rsidRPr="008B1872">
        <w:t>ollecte et formalisation de données pour les sections à créer / améliorer dans le cadre du projet</w:t>
      </w:r>
      <w:r>
        <w:t> ».</w:t>
      </w:r>
    </w:p>
    <w:p w:rsidR="000D6780" w:rsidRDefault="000D6780" w:rsidP="000D6780">
      <w:pPr>
        <w:spacing w:line="360" w:lineRule="auto"/>
        <w:jc w:val="both"/>
      </w:pPr>
      <w:r>
        <w:t>La mission</w:t>
      </w:r>
      <w:r w:rsidRPr="007168D9">
        <w:t xml:space="preserve"> d’information et de collecte des données </w:t>
      </w:r>
      <w:r>
        <w:t xml:space="preserve">s’est tenue à </w:t>
      </w:r>
      <w:r w:rsidRPr="005A0740">
        <w:rPr>
          <w:b/>
        </w:rPr>
        <w:t>Ouagadougou</w:t>
      </w:r>
      <w:r w:rsidRPr="007168D9">
        <w:t xml:space="preserve"> du </w:t>
      </w:r>
      <w:r w:rsidRPr="00AF4E9D">
        <w:rPr>
          <w:b/>
        </w:rPr>
        <w:t>11 au 18 février 2015</w:t>
      </w:r>
      <w:r>
        <w:t>. Elle  a consisté</w:t>
      </w:r>
      <w:r w:rsidRPr="007168D9">
        <w:t xml:space="preserve"> en des audiences négociées auprès des </w:t>
      </w:r>
      <w:r>
        <w:t>structures ayant pris part à l’atelier d’information sur le CHM, d</w:t>
      </w:r>
      <w:r w:rsidRPr="007168D9">
        <w:t>étent</w:t>
      </w:r>
      <w:r>
        <w:t>rices</w:t>
      </w:r>
      <w:r w:rsidRPr="007168D9">
        <w:t xml:space="preserve"> de données pertinentes sur la diversité biologique</w:t>
      </w:r>
      <w:r>
        <w:t>, afin de les collecter pour l’alimentation des sections du site CHM.</w:t>
      </w:r>
    </w:p>
    <w:p w:rsidR="000D6780" w:rsidRDefault="000D6780" w:rsidP="000D6780">
      <w:pPr>
        <w:tabs>
          <w:tab w:val="left" w:pos="7245"/>
        </w:tabs>
        <w:spacing w:line="360" w:lineRule="auto"/>
        <w:jc w:val="both"/>
        <w:rPr>
          <w:rFonts w:cs="Helvetica"/>
          <w:spacing w:val="2"/>
        </w:rPr>
      </w:pPr>
    </w:p>
    <w:p w:rsidR="000D6780" w:rsidRPr="00757CE9" w:rsidRDefault="000D6780" w:rsidP="000D6780">
      <w:pPr>
        <w:tabs>
          <w:tab w:val="left" w:pos="7245"/>
        </w:tabs>
        <w:spacing w:line="360" w:lineRule="auto"/>
        <w:jc w:val="both"/>
        <w:rPr>
          <w:rFonts w:cs="Helvetica"/>
          <w:spacing w:val="2"/>
          <w:sz w:val="26"/>
          <w:szCs w:val="26"/>
          <w:lang w:val="fr-BE"/>
        </w:rPr>
      </w:pPr>
      <w:r w:rsidRPr="00757CE9">
        <w:rPr>
          <w:rFonts w:cs="Helvetica"/>
          <w:spacing w:val="2"/>
        </w:rPr>
        <w:t>L’</w:t>
      </w:r>
      <w:r w:rsidRPr="00757CE9">
        <w:rPr>
          <w:rFonts w:cs="Helvetica"/>
          <w:spacing w:val="2"/>
          <w:lang w:val="fr-BE"/>
        </w:rPr>
        <w:t>objectif de ce projet étant de créer et améliorer les sections du site Web CHM, une rencontre de cadrage des différents points relevant de la mission de collecte a eu lieu avec les</w:t>
      </w:r>
      <w:r w:rsidRPr="00757CE9">
        <w:rPr>
          <w:rFonts w:cs="Helvetica"/>
          <w:spacing w:val="2"/>
          <w:sz w:val="26"/>
          <w:szCs w:val="26"/>
          <w:lang w:val="fr-BE"/>
        </w:rPr>
        <w:t xml:space="preserve"> acteurs de la Convention sur la diversité biologique du CONEDD, afin d’identifier les structures potentielles détentrices de données, et également de définir le type de données à collecter auprès des partenaires. </w:t>
      </w:r>
    </w:p>
    <w:p w:rsidR="000D6780" w:rsidRDefault="000D6780" w:rsidP="000D6780">
      <w:pPr>
        <w:tabs>
          <w:tab w:val="left" w:pos="7245"/>
        </w:tabs>
        <w:spacing w:line="360" w:lineRule="auto"/>
        <w:jc w:val="both"/>
        <w:rPr>
          <w:rFonts w:cs="Helvetica"/>
          <w:spacing w:val="2"/>
          <w:lang w:val="fr-BE"/>
        </w:rPr>
      </w:pPr>
      <w:r w:rsidRPr="00757CE9">
        <w:rPr>
          <w:rFonts w:cs="Helvetica"/>
          <w:spacing w:val="2"/>
          <w:sz w:val="26"/>
          <w:szCs w:val="26"/>
          <w:lang w:val="fr-BE"/>
        </w:rPr>
        <w:t xml:space="preserve">La </w:t>
      </w:r>
      <w:r w:rsidRPr="00757CE9">
        <w:rPr>
          <w:rFonts w:cs="Helvetica"/>
          <w:spacing w:val="2"/>
          <w:lang w:val="fr-BE"/>
        </w:rPr>
        <w:t>mission de collecte s’est agi</w:t>
      </w:r>
      <w:r w:rsidR="00C338A9">
        <w:rPr>
          <w:rFonts w:cs="Helvetica"/>
          <w:spacing w:val="2"/>
          <w:lang w:val="fr-BE"/>
        </w:rPr>
        <w:t>t</w:t>
      </w:r>
      <w:r w:rsidRPr="00757CE9">
        <w:rPr>
          <w:rFonts w:cs="Helvetica"/>
          <w:spacing w:val="2"/>
          <w:lang w:val="fr-BE"/>
        </w:rPr>
        <w:t xml:space="preserve"> à mettre en place une base de données sur les mémoires et thèses existant et de collecter de nouvelles publications à travers les centres de documentations, et avec les chercheurs,  puis de les mettre sous la forme requise. La forme requise est celle qui</w:t>
      </w:r>
      <w:r>
        <w:rPr>
          <w:rFonts w:cs="Helvetica"/>
          <w:spacing w:val="2"/>
          <w:lang w:val="fr-BE"/>
        </w:rPr>
        <w:t> :</w:t>
      </w:r>
    </w:p>
    <w:p w:rsidR="000D6780" w:rsidRDefault="000D6780" w:rsidP="000D6780">
      <w:pPr>
        <w:pStyle w:val="Paragraphedeliste"/>
        <w:numPr>
          <w:ilvl w:val="0"/>
          <w:numId w:val="18"/>
        </w:numPr>
        <w:tabs>
          <w:tab w:val="left" w:pos="7245"/>
        </w:tabs>
        <w:suppressAutoHyphens w:val="0"/>
        <w:spacing w:line="360" w:lineRule="auto"/>
        <w:jc w:val="both"/>
        <w:rPr>
          <w:rFonts w:cs="Helvetica"/>
          <w:spacing w:val="2"/>
          <w:lang w:val="fr-BE"/>
        </w:rPr>
      </w:pPr>
      <w:r w:rsidRPr="006F1EB0">
        <w:rPr>
          <w:rFonts w:cs="Helvetica"/>
          <w:spacing w:val="2"/>
          <w:lang w:val="fr-BE"/>
        </w:rPr>
        <w:t>donne le ré</w:t>
      </w:r>
      <w:r>
        <w:rPr>
          <w:rFonts w:cs="Helvetica"/>
          <w:spacing w:val="2"/>
          <w:lang w:val="fr-BE"/>
        </w:rPr>
        <w:t>sumé en français ou en anglais ;</w:t>
      </w:r>
    </w:p>
    <w:p w:rsidR="000D6780" w:rsidRDefault="000D6780" w:rsidP="000D6780">
      <w:pPr>
        <w:pStyle w:val="Paragraphedeliste"/>
        <w:numPr>
          <w:ilvl w:val="0"/>
          <w:numId w:val="18"/>
        </w:numPr>
        <w:tabs>
          <w:tab w:val="left" w:pos="7245"/>
        </w:tabs>
        <w:suppressAutoHyphens w:val="0"/>
        <w:spacing w:line="360" w:lineRule="auto"/>
        <w:jc w:val="both"/>
        <w:rPr>
          <w:rFonts w:cs="Helvetica"/>
          <w:spacing w:val="2"/>
          <w:lang w:val="fr-BE"/>
        </w:rPr>
      </w:pPr>
      <w:r>
        <w:rPr>
          <w:rFonts w:cs="Helvetica"/>
          <w:spacing w:val="2"/>
          <w:lang w:val="fr-BE"/>
        </w:rPr>
        <w:t>identifie les mots clés ;</w:t>
      </w:r>
    </w:p>
    <w:p w:rsidR="000D6780" w:rsidRDefault="000D6780" w:rsidP="000D6780">
      <w:pPr>
        <w:pStyle w:val="Paragraphedeliste"/>
        <w:numPr>
          <w:ilvl w:val="0"/>
          <w:numId w:val="18"/>
        </w:numPr>
        <w:tabs>
          <w:tab w:val="left" w:pos="7245"/>
        </w:tabs>
        <w:suppressAutoHyphens w:val="0"/>
        <w:spacing w:line="360" w:lineRule="auto"/>
        <w:jc w:val="both"/>
        <w:rPr>
          <w:rFonts w:cs="Helvetica"/>
          <w:spacing w:val="2"/>
          <w:lang w:val="fr-BE"/>
        </w:rPr>
      </w:pPr>
      <w:r w:rsidRPr="006F1EB0">
        <w:rPr>
          <w:rFonts w:cs="Helvetica"/>
          <w:spacing w:val="2"/>
          <w:lang w:val="fr-BE"/>
        </w:rPr>
        <w:t xml:space="preserve">indique le contact du chercheur ou la source de la publication. </w:t>
      </w:r>
    </w:p>
    <w:p w:rsidR="000D6780" w:rsidRDefault="000D6780" w:rsidP="000D6780">
      <w:pPr>
        <w:tabs>
          <w:tab w:val="left" w:pos="7245"/>
        </w:tabs>
        <w:spacing w:line="360" w:lineRule="auto"/>
        <w:jc w:val="both"/>
        <w:rPr>
          <w:rFonts w:cs="Helvetica"/>
          <w:spacing w:val="2"/>
          <w:lang w:val="fr-BE"/>
        </w:rPr>
      </w:pPr>
    </w:p>
    <w:p w:rsidR="000D6780" w:rsidRDefault="000D6780" w:rsidP="000D6780">
      <w:pPr>
        <w:tabs>
          <w:tab w:val="left" w:pos="7245"/>
        </w:tabs>
        <w:spacing w:line="360" w:lineRule="auto"/>
        <w:jc w:val="both"/>
        <w:rPr>
          <w:rFonts w:cs="Helvetica"/>
          <w:spacing w:val="2"/>
          <w:lang w:val="fr-BE"/>
        </w:rPr>
      </w:pPr>
      <w:r>
        <w:rPr>
          <w:rFonts w:cs="Helvetica"/>
          <w:spacing w:val="2"/>
          <w:lang w:val="fr-BE"/>
        </w:rPr>
        <w:t>Calendrier d’exécution de l’activité</w:t>
      </w:r>
    </w:p>
    <w:tbl>
      <w:tblPr>
        <w:tblStyle w:val="Grilledutableau"/>
        <w:tblW w:w="0" w:type="auto"/>
        <w:tblLook w:val="04A0"/>
      </w:tblPr>
      <w:tblGrid>
        <w:gridCol w:w="3161"/>
        <w:gridCol w:w="2381"/>
        <w:gridCol w:w="3520"/>
      </w:tblGrid>
      <w:tr w:rsidR="000D6780" w:rsidRPr="00077CD7" w:rsidTr="00D50BBD">
        <w:tc>
          <w:tcPr>
            <w:tcW w:w="3161" w:type="dxa"/>
          </w:tcPr>
          <w:p w:rsidR="000D6780" w:rsidRPr="00077CD7" w:rsidRDefault="000D6780" w:rsidP="00D50BBD">
            <w:pPr>
              <w:tabs>
                <w:tab w:val="left" w:pos="7245"/>
              </w:tabs>
              <w:jc w:val="center"/>
              <w:rPr>
                <w:rFonts w:ascii="Bookman Old Style" w:hAnsi="Bookman Old Style"/>
                <w:b/>
                <w:sz w:val="24"/>
                <w:szCs w:val="24"/>
              </w:rPr>
            </w:pPr>
            <w:r w:rsidRPr="00077CD7">
              <w:rPr>
                <w:rFonts w:ascii="Bookman Old Style" w:hAnsi="Bookman Old Style"/>
                <w:b/>
                <w:sz w:val="24"/>
                <w:szCs w:val="24"/>
              </w:rPr>
              <w:t>Composition de l’équipe</w:t>
            </w:r>
          </w:p>
        </w:tc>
        <w:tc>
          <w:tcPr>
            <w:tcW w:w="2381" w:type="dxa"/>
          </w:tcPr>
          <w:p w:rsidR="000D6780" w:rsidRPr="00077CD7" w:rsidRDefault="000D6780" w:rsidP="00D50BBD">
            <w:pPr>
              <w:tabs>
                <w:tab w:val="left" w:pos="7245"/>
              </w:tabs>
              <w:jc w:val="center"/>
              <w:rPr>
                <w:rFonts w:ascii="Bookman Old Style" w:hAnsi="Bookman Old Style"/>
                <w:b/>
                <w:sz w:val="24"/>
                <w:szCs w:val="24"/>
              </w:rPr>
            </w:pPr>
            <w:r w:rsidRPr="00077CD7">
              <w:rPr>
                <w:rFonts w:ascii="Bookman Old Style" w:hAnsi="Bookman Old Style"/>
                <w:b/>
                <w:sz w:val="24"/>
                <w:szCs w:val="24"/>
              </w:rPr>
              <w:t>Période</w:t>
            </w:r>
          </w:p>
        </w:tc>
        <w:tc>
          <w:tcPr>
            <w:tcW w:w="3520" w:type="dxa"/>
          </w:tcPr>
          <w:p w:rsidR="000D6780" w:rsidRPr="00077CD7" w:rsidRDefault="000D6780" w:rsidP="00D50BBD">
            <w:pPr>
              <w:tabs>
                <w:tab w:val="left" w:pos="7245"/>
              </w:tabs>
              <w:jc w:val="center"/>
              <w:rPr>
                <w:rFonts w:ascii="Bookman Old Style" w:hAnsi="Bookman Old Style"/>
                <w:b/>
                <w:sz w:val="24"/>
                <w:szCs w:val="24"/>
              </w:rPr>
            </w:pPr>
            <w:r w:rsidRPr="00077CD7">
              <w:rPr>
                <w:rFonts w:ascii="Bookman Old Style" w:hAnsi="Bookman Old Style"/>
                <w:b/>
                <w:sz w:val="24"/>
                <w:szCs w:val="24"/>
              </w:rPr>
              <w:t>Structures à rencontrer</w:t>
            </w:r>
          </w:p>
        </w:tc>
      </w:tr>
      <w:tr w:rsidR="000D6780" w:rsidTr="00D50BBD">
        <w:tc>
          <w:tcPr>
            <w:tcW w:w="3161" w:type="dxa"/>
            <w:vMerge w:val="restart"/>
          </w:tcPr>
          <w:p w:rsidR="000D6780" w:rsidRPr="00D94F28" w:rsidRDefault="000D6780" w:rsidP="00D50BBD">
            <w:pPr>
              <w:tabs>
                <w:tab w:val="left" w:pos="7245"/>
              </w:tabs>
              <w:rPr>
                <w:rFonts w:ascii="Bookman Old Style" w:hAnsi="Bookman Old Style"/>
                <w:sz w:val="24"/>
                <w:szCs w:val="24"/>
                <w:lang w:val="en-US"/>
              </w:rPr>
            </w:pPr>
          </w:p>
          <w:p w:rsidR="000D6780" w:rsidRPr="00D94F28" w:rsidRDefault="000D6780" w:rsidP="00D50BBD">
            <w:pPr>
              <w:tabs>
                <w:tab w:val="left" w:pos="7245"/>
              </w:tabs>
              <w:rPr>
                <w:rFonts w:ascii="Bookman Old Style" w:hAnsi="Bookman Old Style"/>
                <w:sz w:val="24"/>
                <w:szCs w:val="24"/>
                <w:lang w:val="en-US"/>
              </w:rPr>
            </w:pPr>
          </w:p>
          <w:p w:rsidR="000D6780" w:rsidRPr="00D94F28" w:rsidRDefault="000D6780" w:rsidP="00D50BBD">
            <w:pPr>
              <w:tabs>
                <w:tab w:val="left" w:pos="7245"/>
              </w:tabs>
              <w:rPr>
                <w:rFonts w:ascii="Bookman Old Style" w:hAnsi="Bookman Old Style"/>
                <w:sz w:val="24"/>
                <w:szCs w:val="24"/>
                <w:lang w:val="en-US"/>
              </w:rPr>
            </w:pPr>
          </w:p>
          <w:p w:rsidR="000D6780" w:rsidRPr="00D94F28" w:rsidRDefault="000D6780" w:rsidP="00D50BBD">
            <w:pPr>
              <w:tabs>
                <w:tab w:val="left" w:pos="7245"/>
              </w:tabs>
              <w:rPr>
                <w:rFonts w:ascii="Bookman Old Style" w:hAnsi="Bookman Old Style"/>
                <w:sz w:val="24"/>
                <w:szCs w:val="24"/>
                <w:lang w:val="en-US"/>
              </w:rPr>
            </w:pPr>
          </w:p>
          <w:p w:rsidR="000D6780" w:rsidRPr="00D94F28" w:rsidRDefault="000D6780" w:rsidP="00D50BBD">
            <w:pPr>
              <w:tabs>
                <w:tab w:val="left" w:pos="7245"/>
              </w:tabs>
              <w:rPr>
                <w:rFonts w:ascii="Bookman Old Style" w:hAnsi="Bookman Old Style"/>
                <w:sz w:val="24"/>
                <w:szCs w:val="24"/>
                <w:lang w:val="en-US"/>
              </w:rPr>
            </w:pPr>
          </w:p>
          <w:p w:rsidR="000D6780" w:rsidRPr="00D94F28" w:rsidRDefault="000D6780" w:rsidP="00D50BBD">
            <w:pPr>
              <w:tabs>
                <w:tab w:val="left" w:pos="7245"/>
              </w:tabs>
              <w:jc w:val="center"/>
              <w:rPr>
                <w:rFonts w:ascii="Bookman Old Style" w:hAnsi="Bookman Old Style"/>
                <w:sz w:val="24"/>
                <w:szCs w:val="24"/>
                <w:lang w:val="en-US"/>
              </w:rPr>
            </w:pPr>
            <w:r w:rsidRPr="00D94F28">
              <w:rPr>
                <w:rFonts w:ascii="Bookman Old Style" w:hAnsi="Bookman Old Style"/>
                <w:sz w:val="24"/>
                <w:szCs w:val="24"/>
                <w:lang w:val="en-US"/>
              </w:rPr>
              <w:lastRenderedPageBreak/>
              <w:t>LOUARI Robert</w:t>
            </w:r>
          </w:p>
          <w:p w:rsidR="000D6780" w:rsidRPr="00D94F28" w:rsidRDefault="000D6780" w:rsidP="00D50BBD">
            <w:pPr>
              <w:tabs>
                <w:tab w:val="left" w:pos="7245"/>
              </w:tabs>
              <w:jc w:val="center"/>
              <w:rPr>
                <w:rFonts w:ascii="Bookman Old Style" w:hAnsi="Bookman Old Style"/>
                <w:sz w:val="24"/>
                <w:szCs w:val="24"/>
                <w:lang w:val="en-US"/>
              </w:rPr>
            </w:pPr>
            <w:r w:rsidRPr="00D94F28">
              <w:rPr>
                <w:rFonts w:ascii="Bookman Old Style" w:hAnsi="Bookman Old Style"/>
                <w:sz w:val="24"/>
                <w:szCs w:val="24"/>
                <w:lang w:val="en-US"/>
              </w:rPr>
              <w:t xml:space="preserve">SO Jean </w:t>
            </w:r>
            <w:proofErr w:type="spellStart"/>
            <w:r w:rsidRPr="00D94F28">
              <w:rPr>
                <w:rFonts w:ascii="Bookman Old Style" w:hAnsi="Bookman Old Style"/>
                <w:sz w:val="24"/>
                <w:szCs w:val="24"/>
                <w:lang w:val="en-US"/>
              </w:rPr>
              <w:t>Bosco</w:t>
            </w:r>
            <w:proofErr w:type="spellEnd"/>
          </w:p>
          <w:p w:rsidR="000D6780" w:rsidRPr="00D94F28" w:rsidRDefault="000D6780" w:rsidP="00D50BBD">
            <w:pPr>
              <w:tabs>
                <w:tab w:val="left" w:pos="7245"/>
              </w:tabs>
              <w:jc w:val="center"/>
              <w:rPr>
                <w:rFonts w:ascii="Bookman Old Style" w:hAnsi="Bookman Old Style"/>
                <w:sz w:val="24"/>
                <w:szCs w:val="24"/>
                <w:lang w:val="en-US"/>
              </w:rPr>
            </w:pPr>
            <w:r w:rsidRPr="00D94F28">
              <w:rPr>
                <w:rFonts w:ascii="Bookman Old Style" w:hAnsi="Bookman Old Style"/>
                <w:sz w:val="24"/>
                <w:szCs w:val="24"/>
                <w:lang w:val="en-US"/>
              </w:rPr>
              <w:t xml:space="preserve">OUEDRAOGO </w:t>
            </w:r>
            <w:proofErr w:type="spellStart"/>
            <w:r w:rsidRPr="00D94F28">
              <w:rPr>
                <w:rFonts w:ascii="Bookman Old Style" w:hAnsi="Bookman Old Style"/>
                <w:sz w:val="24"/>
                <w:szCs w:val="24"/>
                <w:lang w:val="en-US"/>
              </w:rPr>
              <w:t>Libata</w:t>
            </w:r>
            <w:proofErr w:type="spellEnd"/>
          </w:p>
        </w:tc>
        <w:tc>
          <w:tcPr>
            <w:tcW w:w="2381" w:type="dxa"/>
            <w:vMerge w:val="restart"/>
          </w:tcPr>
          <w:p w:rsidR="000D6780" w:rsidRPr="00D94F28" w:rsidRDefault="000D6780" w:rsidP="00D50BBD">
            <w:pPr>
              <w:tabs>
                <w:tab w:val="left" w:pos="7245"/>
              </w:tabs>
              <w:jc w:val="center"/>
              <w:rPr>
                <w:rFonts w:ascii="Bookman Old Style" w:hAnsi="Bookman Old Style"/>
                <w:sz w:val="24"/>
                <w:lang w:val="en-US"/>
              </w:rPr>
            </w:pPr>
          </w:p>
          <w:p w:rsidR="000D6780" w:rsidRPr="00D94F28" w:rsidRDefault="000D6780" w:rsidP="00D50BBD">
            <w:pPr>
              <w:tabs>
                <w:tab w:val="left" w:pos="7245"/>
              </w:tabs>
              <w:jc w:val="center"/>
              <w:rPr>
                <w:rFonts w:ascii="Bookman Old Style" w:hAnsi="Bookman Old Style"/>
                <w:sz w:val="24"/>
                <w:lang w:val="en-US"/>
              </w:rPr>
            </w:pPr>
          </w:p>
          <w:p w:rsidR="000D6780" w:rsidRPr="00D94F28" w:rsidRDefault="000D6780" w:rsidP="00D50BBD">
            <w:pPr>
              <w:tabs>
                <w:tab w:val="left" w:pos="7245"/>
              </w:tabs>
              <w:jc w:val="center"/>
              <w:rPr>
                <w:rFonts w:ascii="Bookman Old Style" w:hAnsi="Bookman Old Style"/>
                <w:sz w:val="24"/>
                <w:lang w:val="en-US"/>
              </w:rPr>
            </w:pPr>
          </w:p>
          <w:p w:rsidR="000D6780" w:rsidRPr="00D94F28" w:rsidRDefault="000D6780" w:rsidP="00D50BBD">
            <w:pPr>
              <w:tabs>
                <w:tab w:val="left" w:pos="7245"/>
              </w:tabs>
              <w:jc w:val="center"/>
              <w:rPr>
                <w:rFonts w:ascii="Bookman Old Style" w:hAnsi="Bookman Old Style"/>
                <w:sz w:val="24"/>
                <w:lang w:val="en-US"/>
              </w:rPr>
            </w:pPr>
          </w:p>
          <w:p w:rsidR="000D6780" w:rsidRPr="00D94F28" w:rsidRDefault="000D6780" w:rsidP="00D50BBD">
            <w:pPr>
              <w:tabs>
                <w:tab w:val="left" w:pos="7245"/>
              </w:tabs>
              <w:jc w:val="center"/>
              <w:rPr>
                <w:rFonts w:ascii="Bookman Old Style" w:hAnsi="Bookman Old Style"/>
                <w:sz w:val="24"/>
                <w:lang w:val="en-US"/>
              </w:rPr>
            </w:pPr>
          </w:p>
          <w:p w:rsidR="000D6780" w:rsidRPr="00D94F28" w:rsidRDefault="000D6780" w:rsidP="00D50BBD">
            <w:pPr>
              <w:tabs>
                <w:tab w:val="left" w:pos="7245"/>
              </w:tabs>
              <w:jc w:val="center"/>
              <w:rPr>
                <w:rFonts w:ascii="Bookman Old Style" w:hAnsi="Bookman Old Style"/>
                <w:sz w:val="24"/>
                <w:lang w:val="en-US"/>
              </w:rPr>
            </w:pPr>
          </w:p>
          <w:p w:rsidR="000D6780" w:rsidRDefault="000D6780" w:rsidP="00D50BBD">
            <w:pPr>
              <w:tabs>
                <w:tab w:val="left" w:pos="7245"/>
              </w:tabs>
              <w:jc w:val="center"/>
              <w:rPr>
                <w:rFonts w:ascii="Bookman Old Style" w:hAnsi="Bookman Old Style"/>
                <w:sz w:val="24"/>
              </w:rPr>
            </w:pPr>
            <w:r>
              <w:rPr>
                <w:rFonts w:ascii="Bookman Old Style" w:hAnsi="Bookman Old Style"/>
                <w:sz w:val="24"/>
              </w:rPr>
              <w:t>Du 11 au 18 février 2015</w:t>
            </w:r>
          </w:p>
          <w:p w:rsidR="000D6780" w:rsidRPr="0097536D" w:rsidRDefault="000D6780" w:rsidP="00D50BBD">
            <w:pPr>
              <w:tabs>
                <w:tab w:val="left" w:pos="7245"/>
              </w:tabs>
              <w:jc w:val="center"/>
              <w:rPr>
                <w:rFonts w:ascii="Bookman Old Style" w:hAnsi="Bookman Old Style"/>
                <w:sz w:val="24"/>
              </w:rPr>
            </w:pPr>
            <w:r>
              <w:rPr>
                <w:rFonts w:ascii="Bookman Old Style" w:hAnsi="Bookman Old Style"/>
                <w:sz w:val="24"/>
              </w:rPr>
              <w:t>(Jours ouvrables)</w:t>
            </w:r>
          </w:p>
        </w:tc>
        <w:tc>
          <w:tcPr>
            <w:tcW w:w="3520" w:type="dxa"/>
          </w:tcPr>
          <w:p w:rsidR="000D6780" w:rsidRPr="0097536D" w:rsidRDefault="000D6780" w:rsidP="00D50BBD">
            <w:pPr>
              <w:tabs>
                <w:tab w:val="left" w:pos="7245"/>
              </w:tabs>
              <w:jc w:val="center"/>
              <w:rPr>
                <w:rFonts w:ascii="Bookman Old Style" w:hAnsi="Bookman Old Style"/>
                <w:sz w:val="24"/>
                <w:szCs w:val="24"/>
              </w:rPr>
            </w:pPr>
            <w:r w:rsidRPr="0097536D">
              <w:rPr>
                <w:rFonts w:ascii="Bookman Old Style" w:hAnsi="Bookman Old Style"/>
                <w:sz w:val="24"/>
              </w:rPr>
              <w:lastRenderedPageBreak/>
              <w:t>SP/CONAGREP- MRSI</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jc w:val="center"/>
              <w:rPr>
                <w:rFonts w:ascii="Bookman Old Style" w:hAnsi="Bookman Old Style"/>
                <w:sz w:val="24"/>
              </w:rPr>
            </w:pPr>
          </w:p>
        </w:tc>
        <w:tc>
          <w:tcPr>
            <w:tcW w:w="3520" w:type="dxa"/>
          </w:tcPr>
          <w:p w:rsidR="000D6780" w:rsidRPr="0097536D" w:rsidRDefault="000D6780" w:rsidP="00D50BBD">
            <w:pPr>
              <w:tabs>
                <w:tab w:val="left" w:pos="7245"/>
              </w:tabs>
              <w:jc w:val="center"/>
              <w:rPr>
                <w:rFonts w:ascii="Bookman Old Style" w:hAnsi="Bookman Old Style"/>
                <w:sz w:val="24"/>
                <w:szCs w:val="24"/>
              </w:rPr>
            </w:pPr>
            <w:r w:rsidRPr="0097536D">
              <w:rPr>
                <w:rFonts w:ascii="Bookman Old Style" w:hAnsi="Bookman Old Style"/>
                <w:sz w:val="24"/>
              </w:rPr>
              <w:t>NATURAMA</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jc w:val="center"/>
              <w:rPr>
                <w:rFonts w:ascii="Bookman Old Style" w:hAnsi="Bookman Old Style"/>
                <w:sz w:val="24"/>
              </w:rPr>
            </w:pPr>
          </w:p>
        </w:tc>
        <w:tc>
          <w:tcPr>
            <w:tcW w:w="3520" w:type="dxa"/>
          </w:tcPr>
          <w:p w:rsidR="000D6780" w:rsidRPr="0097536D" w:rsidRDefault="000D6780" w:rsidP="00D50BBD">
            <w:pPr>
              <w:tabs>
                <w:tab w:val="left" w:pos="7245"/>
              </w:tabs>
              <w:jc w:val="center"/>
              <w:rPr>
                <w:rFonts w:ascii="Bookman Old Style" w:hAnsi="Bookman Old Style"/>
                <w:sz w:val="24"/>
              </w:rPr>
            </w:pPr>
            <w:r w:rsidRPr="0097536D">
              <w:rPr>
                <w:rFonts w:ascii="Bookman Old Style" w:hAnsi="Bookman Old Style"/>
                <w:sz w:val="24"/>
              </w:rPr>
              <w:t>OFINAP/MERH</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jc w:val="center"/>
              <w:rPr>
                <w:rFonts w:ascii="Bookman Old Style" w:hAnsi="Bookman Old Style"/>
                <w:sz w:val="24"/>
              </w:rPr>
            </w:pPr>
          </w:p>
        </w:tc>
        <w:tc>
          <w:tcPr>
            <w:tcW w:w="3520" w:type="dxa"/>
          </w:tcPr>
          <w:p w:rsidR="000D6780" w:rsidRPr="0097536D" w:rsidRDefault="000D6780" w:rsidP="00D50BBD">
            <w:pPr>
              <w:tabs>
                <w:tab w:val="left" w:pos="7245"/>
              </w:tabs>
              <w:jc w:val="center"/>
              <w:rPr>
                <w:rFonts w:ascii="Bookman Old Style" w:hAnsi="Bookman Old Style"/>
                <w:sz w:val="24"/>
              </w:rPr>
            </w:pPr>
            <w:r w:rsidRPr="0097536D">
              <w:rPr>
                <w:rFonts w:ascii="Bookman Old Style" w:hAnsi="Bookman Old Style"/>
                <w:sz w:val="24"/>
              </w:rPr>
              <w:t>CNSF/MERH</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ind w:firstLine="708"/>
              <w:jc w:val="center"/>
              <w:rPr>
                <w:rFonts w:ascii="Bookman Old Style" w:hAnsi="Bookman Old Style"/>
                <w:sz w:val="24"/>
              </w:rPr>
            </w:pPr>
          </w:p>
        </w:tc>
        <w:tc>
          <w:tcPr>
            <w:tcW w:w="3520" w:type="dxa"/>
          </w:tcPr>
          <w:p w:rsidR="000D6780" w:rsidRPr="0097536D" w:rsidRDefault="000D6780" w:rsidP="00D50BBD">
            <w:pPr>
              <w:tabs>
                <w:tab w:val="left" w:pos="7245"/>
              </w:tabs>
              <w:ind w:firstLine="708"/>
              <w:jc w:val="center"/>
              <w:rPr>
                <w:rFonts w:ascii="Bookman Old Style" w:hAnsi="Bookman Old Style"/>
                <w:sz w:val="24"/>
              </w:rPr>
            </w:pPr>
            <w:proofErr w:type="spellStart"/>
            <w:r w:rsidRPr="0097536D">
              <w:rPr>
                <w:rFonts w:ascii="Bookman Old Style" w:hAnsi="Bookman Old Style"/>
                <w:sz w:val="24"/>
              </w:rPr>
              <w:t>Labev</w:t>
            </w:r>
            <w:proofErr w:type="spellEnd"/>
            <w:r w:rsidRPr="0097536D">
              <w:rPr>
                <w:rFonts w:ascii="Bookman Old Style" w:hAnsi="Bookman Old Style"/>
                <w:sz w:val="24"/>
              </w:rPr>
              <w:t>/UO</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1267"/>
              </w:tabs>
              <w:jc w:val="center"/>
              <w:rPr>
                <w:rFonts w:ascii="Bookman Old Style" w:hAnsi="Bookman Old Style"/>
                <w:sz w:val="24"/>
              </w:rPr>
            </w:pPr>
          </w:p>
        </w:tc>
        <w:tc>
          <w:tcPr>
            <w:tcW w:w="3520" w:type="dxa"/>
          </w:tcPr>
          <w:p w:rsidR="000D6780" w:rsidRPr="0097536D" w:rsidRDefault="000D6780" w:rsidP="00D50BBD">
            <w:pPr>
              <w:tabs>
                <w:tab w:val="left" w:pos="1267"/>
              </w:tabs>
              <w:jc w:val="center"/>
              <w:rPr>
                <w:rFonts w:ascii="Bookman Old Style" w:hAnsi="Bookman Old Style"/>
                <w:sz w:val="24"/>
              </w:rPr>
            </w:pPr>
            <w:proofErr w:type="spellStart"/>
            <w:r w:rsidRPr="0097536D">
              <w:rPr>
                <w:rFonts w:ascii="Bookman Old Style" w:hAnsi="Bookman Old Style"/>
                <w:sz w:val="24"/>
              </w:rPr>
              <w:t>DiFor</w:t>
            </w:r>
            <w:proofErr w:type="spellEnd"/>
            <w:r w:rsidRPr="0097536D">
              <w:rPr>
                <w:rFonts w:ascii="Bookman Old Style" w:hAnsi="Bookman Old Style"/>
                <w:sz w:val="24"/>
              </w:rPr>
              <w:t>/MERH</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jc w:val="center"/>
              <w:rPr>
                <w:rFonts w:ascii="Bookman Old Style" w:hAnsi="Bookman Old Style"/>
                <w:sz w:val="24"/>
              </w:rPr>
            </w:pPr>
          </w:p>
        </w:tc>
        <w:tc>
          <w:tcPr>
            <w:tcW w:w="3520" w:type="dxa"/>
          </w:tcPr>
          <w:p w:rsidR="000D6780" w:rsidRPr="0097536D" w:rsidRDefault="000D6780" w:rsidP="00D50BBD">
            <w:pPr>
              <w:tabs>
                <w:tab w:val="left" w:pos="7245"/>
              </w:tabs>
              <w:jc w:val="center"/>
              <w:rPr>
                <w:rFonts w:ascii="Bookman Old Style" w:hAnsi="Bookman Old Style"/>
                <w:sz w:val="24"/>
              </w:rPr>
            </w:pPr>
            <w:r w:rsidRPr="0097536D">
              <w:rPr>
                <w:rFonts w:ascii="Bookman Old Style" w:hAnsi="Bookman Old Style"/>
                <w:sz w:val="24"/>
              </w:rPr>
              <w:t xml:space="preserve">SIC </w:t>
            </w:r>
            <w:proofErr w:type="spellStart"/>
            <w:r w:rsidRPr="0097536D">
              <w:rPr>
                <w:rFonts w:ascii="Bookman Old Style" w:hAnsi="Bookman Old Style"/>
                <w:sz w:val="24"/>
              </w:rPr>
              <w:t>Tampuy</w:t>
            </w:r>
            <w:proofErr w:type="spellEnd"/>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1002"/>
              </w:tabs>
              <w:jc w:val="center"/>
              <w:rPr>
                <w:rFonts w:ascii="Bookman Old Style" w:hAnsi="Bookman Old Style"/>
                <w:sz w:val="24"/>
              </w:rPr>
            </w:pPr>
          </w:p>
        </w:tc>
        <w:tc>
          <w:tcPr>
            <w:tcW w:w="3520" w:type="dxa"/>
          </w:tcPr>
          <w:p w:rsidR="000D6780" w:rsidRPr="0097536D" w:rsidRDefault="000D6780" w:rsidP="00D50BBD">
            <w:pPr>
              <w:tabs>
                <w:tab w:val="left" w:pos="1002"/>
              </w:tabs>
              <w:jc w:val="center"/>
              <w:rPr>
                <w:rFonts w:ascii="Bookman Old Style" w:hAnsi="Bookman Old Style"/>
                <w:sz w:val="24"/>
              </w:rPr>
            </w:pPr>
            <w:r w:rsidRPr="0097536D">
              <w:rPr>
                <w:rFonts w:ascii="Bookman Old Style" w:hAnsi="Bookman Old Style"/>
                <w:sz w:val="24"/>
              </w:rPr>
              <w:t>INERA/DPF</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jc w:val="center"/>
              <w:rPr>
                <w:rFonts w:ascii="Bookman Old Style" w:hAnsi="Bookman Old Style"/>
                <w:sz w:val="24"/>
              </w:rPr>
            </w:pPr>
          </w:p>
        </w:tc>
        <w:tc>
          <w:tcPr>
            <w:tcW w:w="3520" w:type="dxa"/>
          </w:tcPr>
          <w:p w:rsidR="000D6780" w:rsidRPr="0097536D" w:rsidRDefault="000D6780" w:rsidP="00D50BBD">
            <w:pPr>
              <w:tabs>
                <w:tab w:val="left" w:pos="7245"/>
              </w:tabs>
              <w:jc w:val="center"/>
              <w:rPr>
                <w:rFonts w:ascii="Bookman Old Style" w:hAnsi="Bookman Old Style"/>
                <w:sz w:val="24"/>
              </w:rPr>
            </w:pPr>
            <w:r w:rsidRPr="0097536D">
              <w:rPr>
                <w:rFonts w:ascii="Bookman Old Style" w:hAnsi="Bookman Old Style"/>
                <w:sz w:val="24"/>
              </w:rPr>
              <w:t>DFC/DGFF</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ind w:firstLine="708"/>
              <w:jc w:val="center"/>
              <w:rPr>
                <w:rFonts w:ascii="Bookman Old Style" w:hAnsi="Bookman Old Style"/>
                <w:sz w:val="24"/>
              </w:rPr>
            </w:pPr>
          </w:p>
        </w:tc>
        <w:tc>
          <w:tcPr>
            <w:tcW w:w="3520" w:type="dxa"/>
          </w:tcPr>
          <w:p w:rsidR="000D6780" w:rsidRPr="0097536D" w:rsidRDefault="000D6780" w:rsidP="00D50BBD">
            <w:pPr>
              <w:tabs>
                <w:tab w:val="left" w:pos="7245"/>
              </w:tabs>
              <w:ind w:firstLine="708"/>
              <w:jc w:val="center"/>
              <w:rPr>
                <w:rFonts w:ascii="Bookman Old Style" w:hAnsi="Bookman Old Style"/>
                <w:sz w:val="24"/>
              </w:rPr>
            </w:pPr>
            <w:r w:rsidRPr="0097536D">
              <w:rPr>
                <w:rFonts w:ascii="Bookman Old Style" w:hAnsi="Bookman Old Style"/>
                <w:sz w:val="24"/>
              </w:rPr>
              <w:t>ARSN/MERH</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jc w:val="center"/>
              <w:rPr>
                <w:rFonts w:ascii="Bookman Old Style" w:hAnsi="Bookman Old Style"/>
                <w:sz w:val="24"/>
              </w:rPr>
            </w:pPr>
          </w:p>
        </w:tc>
        <w:tc>
          <w:tcPr>
            <w:tcW w:w="3520" w:type="dxa"/>
          </w:tcPr>
          <w:p w:rsidR="000D6780" w:rsidRPr="0097536D" w:rsidRDefault="000D6780" w:rsidP="00D50BBD">
            <w:pPr>
              <w:tabs>
                <w:tab w:val="left" w:pos="7245"/>
              </w:tabs>
              <w:jc w:val="center"/>
              <w:rPr>
                <w:rFonts w:ascii="Bookman Old Style" w:hAnsi="Bookman Old Style"/>
                <w:sz w:val="24"/>
              </w:rPr>
            </w:pPr>
            <w:r w:rsidRPr="0097536D">
              <w:rPr>
                <w:rFonts w:ascii="Bookman Old Style" w:hAnsi="Bookman Old Style"/>
                <w:sz w:val="24"/>
              </w:rPr>
              <w:t>DFC/MERH</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97536D" w:rsidRDefault="000D6780" w:rsidP="00D50BBD">
            <w:pPr>
              <w:tabs>
                <w:tab w:val="left" w:pos="7245"/>
              </w:tabs>
              <w:jc w:val="center"/>
              <w:rPr>
                <w:rFonts w:ascii="Bookman Old Style" w:hAnsi="Bookman Old Style"/>
                <w:sz w:val="24"/>
              </w:rPr>
            </w:pPr>
          </w:p>
        </w:tc>
        <w:tc>
          <w:tcPr>
            <w:tcW w:w="3520" w:type="dxa"/>
          </w:tcPr>
          <w:p w:rsidR="000D6780" w:rsidRPr="0097536D" w:rsidRDefault="000D6780" w:rsidP="00D50BBD">
            <w:pPr>
              <w:tabs>
                <w:tab w:val="left" w:pos="7245"/>
              </w:tabs>
              <w:jc w:val="center"/>
              <w:rPr>
                <w:rFonts w:ascii="Bookman Old Style" w:hAnsi="Bookman Old Style"/>
                <w:sz w:val="24"/>
              </w:rPr>
            </w:pPr>
            <w:r w:rsidRPr="0097536D">
              <w:rPr>
                <w:rFonts w:ascii="Bookman Old Style" w:hAnsi="Bookman Old Style"/>
                <w:sz w:val="24"/>
              </w:rPr>
              <w:t>ANB/MRSI</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Default="000D6780" w:rsidP="00D50BBD">
            <w:pPr>
              <w:tabs>
                <w:tab w:val="left" w:pos="7245"/>
              </w:tabs>
              <w:jc w:val="center"/>
            </w:pPr>
          </w:p>
        </w:tc>
        <w:tc>
          <w:tcPr>
            <w:tcW w:w="3520" w:type="dxa"/>
          </w:tcPr>
          <w:p w:rsidR="000D6780" w:rsidRPr="0097536D" w:rsidRDefault="000D6780" w:rsidP="00D50BBD">
            <w:pPr>
              <w:tabs>
                <w:tab w:val="left" w:pos="7245"/>
              </w:tabs>
              <w:jc w:val="center"/>
              <w:rPr>
                <w:rFonts w:ascii="Bookman Old Style" w:hAnsi="Bookman Old Style"/>
                <w:sz w:val="24"/>
              </w:rPr>
            </w:pPr>
            <w:r>
              <w:t>DGFF/MERH</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Default="000D6780" w:rsidP="00D50BBD">
            <w:pPr>
              <w:tabs>
                <w:tab w:val="left" w:pos="7245"/>
              </w:tabs>
              <w:jc w:val="center"/>
            </w:pPr>
          </w:p>
        </w:tc>
        <w:tc>
          <w:tcPr>
            <w:tcW w:w="3520" w:type="dxa"/>
          </w:tcPr>
          <w:p w:rsidR="000D6780" w:rsidRPr="0097536D" w:rsidRDefault="000D6780" w:rsidP="00D50BBD">
            <w:pPr>
              <w:tabs>
                <w:tab w:val="left" w:pos="7245"/>
              </w:tabs>
              <w:jc w:val="center"/>
              <w:rPr>
                <w:rFonts w:ascii="Bookman Old Style" w:hAnsi="Bookman Old Style"/>
                <w:sz w:val="24"/>
              </w:rPr>
            </w:pPr>
            <w:proofErr w:type="spellStart"/>
            <w:r>
              <w:t>DiGF</w:t>
            </w:r>
            <w:proofErr w:type="spellEnd"/>
            <w:r>
              <w:t>/MERH</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013B5C" w:rsidRDefault="000D6780" w:rsidP="00D50BBD">
            <w:pPr>
              <w:tabs>
                <w:tab w:val="left" w:pos="7245"/>
              </w:tabs>
              <w:jc w:val="center"/>
              <w:rPr>
                <w:rFonts w:ascii="Bookman Old Style" w:hAnsi="Bookman Old Style"/>
              </w:rPr>
            </w:pPr>
          </w:p>
        </w:tc>
        <w:tc>
          <w:tcPr>
            <w:tcW w:w="3520" w:type="dxa"/>
          </w:tcPr>
          <w:p w:rsidR="000D6780" w:rsidRDefault="000D6780" w:rsidP="00D50BBD">
            <w:pPr>
              <w:tabs>
                <w:tab w:val="left" w:pos="7245"/>
              </w:tabs>
              <w:jc w:val="center"/>
            </w:pPr>
            <w:r w:rsidRPr="00013B5C">
              <w:rPr>
                <w:rFonts w:ascii="Bookman Old Style" w:hAnsi="Bookman Old Style"/>
              </w:rPr>
              <w:t>UFR/SVT</w:t>
            </w:r>
          </w:p>
        </w:tc>
      </w:tr>
      <w:tr w:rsidR="000D6780" w:rsidTr="00D50BBD">
        <w:tc>
          <w:tcPr>
            <w:tcW w:w="3161" w:type="dxa"/>
            <w:vMerge/>
          </w:tcPr>
          <w:p w:rsidR="000D6780" w:rsidRDefault="000D6780" w:rsidP="00D50BBD">
            <w:pPr>
              <w:tabs>
                <w:tab w:val="left" w:pos="7245"/>
              </w:tabs>
              <w:rPr>
                <w:rFonts w:ascii="Bookman Old Style" w:hAnsi="Bookman Old Style"/>
                <w:sz w:val="24"/>
                <w:szCs w:val="24"/>
              </w:rPr>
            </w:pPr>
          </w:p>
        </w:tc>
        <w:tc>
          <w:tcPr>
            <w:tcW w:w="2381" w:type="dxa"/>
            <w:vMerge/>
          </w:tcPr>
          <w:p w:rsidR="000D6780" w:rsidRPr="00E512AE" w:rsidRDefault="000D6780" w:rsidP="00D50BBD">
            <w:pPr>
              <w:tabs>
                <w:tab w:val="left" w:pos="7245"/>
              </w:tabs>
              <w:jc w:val="center"/>
              <w:rPr>
                <w:rFonts w:ascii="Bookman Old Style" w:hAnsi="Bookman Old Style" w:cs="Times"/>
              </w:rPr>
            </w:pPr>
          </w:p>
        </w:tc>
        <w:tc>
          <w:tcPr>
            <w:tcW w:w="3520" w:type="dxa"/>
          </w:tcPr>
          <w:p w:rsidR="000D6780" w:rsidRDefault="000D6780" w:rsidP="00D50BBD">
            <w:pPr>
              <w:tabs>
                <w:tab w:val="left" w:pos="7245"/>
              </w:tabs>
              <w:jc w:val="center"/>
            </w:pPr>
            <w:r w:rsidRPr="00E512AE">
              <w:rPr>
                <w:rFonts w:ascii="Bookman Old Style" w:hAnsi="Bookman Old Style" w:cs="Times"/>
              </w:rPr>
              <w:t>APFNL</w:t>
            </w:r>
          </w:p>
        </w:tc>
      </w:tr>
    </w:tbl>
    <w:p w:rsidR="000D6780" w:rsidRDefault="000D6780" w:rsidP="000D6780">
      <w:pPr>
        <w:tabs>
          <w:tab w:val="left" w:pos="7245"/>
        </w:tabs>
        <w:spacing w:line="360" w:lineRule="auto"/>
        <w:jc w:val="both"/>
        <w:rPr>
          <w:rFonts w:cs="Helvetica"/>
          <w:spacing w:val="2"/>
          <w:lang w:val="fr-BE"/>
        </w:rPr>
      </w:pPr>
    </w:p>
    <w:p w:rsidR="000D6780" w:rsidRDefault="000D6780" w:rsidP="000D6780">
      <w:pPr>
        <w:tabs>
          <w:tab w:val="left" w:pos="7245"/>
        </w:tabs>
        <w:spacing w:line="360" w:lineRule="auto"/>
        <w:jc w:val="both"/>
        <w:rPr>
          <w:rFonts w:cs="Helvetica"/>
          <w:spacing w:val="2"/>
          <w:lang w:val="fr-BE"/>
        </w:rPr>
      </w:pPr>
    </w:p>
    <w:p w:rsidR="000D6780" w:rsidRDefault="000D6780" w:rsidP="000D6780">
      <w:pPr>
        <w:tabs>
          <w:tab w:val="left" w:pos="7245"/>
        </w:tabs>
        <w:spacing w:line="360" w:lineRule="auto"/>
        <w:jc w:val="both"/>
        <w:rPr>
          <w:rFonts w:cs="Helvetica"/>
          <w:spacing w:val="2"/>
          <w:lang w:val="fr-BE"/>
        </w:rPr>
      </w:pPr>
    </w:p>
    <w:p w:rsidR="000D6780" w:rsidRPr="006F1EB0" w:rsidRDefault="000D6780" w:rsidP="000D6780">
      <w:pPr>
        <w:tabs>
          <w:tab w:val="left" w:pos="7245"/>
        </w:tabs>
        <w:spacing w:line="360" w:lineRule="auto"/>
        <w:jc w:val="both"/>
        <w:rPr>
          <w:rFonts w:cs="Helvetica"/>
          <w:spacing w:val="2"/>
          <w:lang w:val="fr-BE"/>
        </w:rPr>
      </w:pPr>
    </w:p>
    <w:p w:rsidR="000D6780" w:rsidRPr="00D922C7" w:rsidRDefault="000D6780" w:rsidP="00C338A9">
      <w:pPr>
        <w:pStyle w:val="Paragraphedeliste"/>
        <w:tabs>
          <w:tab w:val="left" w:pos="7245"/>
        </w:tabs>
        <w:suppressAutoHyphens w:val="0"/>
        <w:spacing w:after="200" w:line="360" w:lineRule="auto"/>
        <w:ind w:left="1080"/>
        <w:rPr>
          <w:b/>
        </w:rPr>
      </w:pPr>
      <w:r>
        <w:rPr>
          <w:b/>
        </w:rPr>
        <w:t>RECAPITULATIF DES DONNEES COLLECTEES</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4"/>
        <w:gridCol w:w="7119"/>
      </w:tblGrid>
      <w:tr w:rsidR="000D6780" w:rsidRPr="006A2C19" w:rsidTr="00D50BBD">
        <w:trPr>
          <w:trHeight w:val="276"/>
        </w:trPr>
        <w:tc>
          <w:tcPr>
            <w:tcW w:w="2804" w:type="dxa"/>
            <w:tcBorders>
              <w:right w:val="single" w:sz="4" w:space="0" w:color="auto"/>
            </w:tcBorders>
            <w:shd w:val="clear" w:color="auto" w:fill="auto"/>
            <w:vAlign w:val="center"/>
          </w:tcPr>
          <w:p w:rsidR="000D6780" w:rsidRPr="006A2C19" w:rsidRDefault="000D6780" w:rsidP="00D50BBD">
            <w:pPr>
              <w:jc w:val="center"/>
              <w:rPr>
                <w:b/>
                <w:sz w:val="32"/>
                <w:szCs w:val="28"/>
              </w:rPr>
            </w:pPr>
            <w:r w:rsidRPr="006A2C19">
              <w:rPr>
                <w:b/>
                <w:sz w:val="32"/>
                <w:szCs w:val="28"/>
              </w:rPr>
              <w:t>Structures</w:t>
            </w:r>
          </w:p>
        </w:tc>
        <w:tc>
          <w:tcPr>
            <w:tcW w:w="7119" w:type="dxa"/>
            <w:tcBorders>
              <w:left w:val="single" w:sz="4" w:space="0" w:color="auto"/>
              <w:right w:val="single" w:sz="4" w:space="0" w:color="auto"/>
            </w:tcBorders>
            <w:shd w:val="clear" w:color="auto" w:fill="auto"/>
          </w:tcPr>
          <w:p w:rsidR="000D6780" w:rsidRPr="006A2C19" w:rsidRDefault="000D6780" w:rsidP="00D50BBD">
            <w:pPr>
              <w:jc w:val="center"/>
              <w:rPr>
                <w:b/>
                <w:sz w:val="32"/>
                <w:szCs w:val="28"/>
              </w:rPr>
            </w:pPr>
            <w:r w:rsidRPr="006A2C19">
              <w:rPr>
                <w:b/>
                <w:sz w:val="32"/>
                <w:szCs w:val="28"/>
              </w:rPr>
              <w:t xml:space="preserve">Type de données </w:t>
            </w:r>
            <w:r>
              <w:rPr>
                <w:b/>
                <w:sz w:val="32"/>
                <w:szCs w:val="28"/>
              </w:rPr>
              <w:t xml:space="preserve">collectées </w:t>
            </w:r>
          </w:p>
        </w:tc>
      </w:tr>
      <w:tr w:rsidR="000D6780" w:rsidRPr="006A2C19" w:rsidTr="00D50BBD">
        <w:trPr>
          <w:trHeight w:val="388"/>
        </w:trPr>
        <w:tc>
          <w:tcPr>
            <w:tcW w:w="2804" w:type="dxa"/>
            <w:tcBorders>
              <w:right w:val="single" w:sz="4" w:space="0" w:color="auto"/>
            </w:tcBorders>
            <w:shd w:val="clear" w:color="auto" w:fill="auto"/>
          </w:tcPr>
          <w:p w:rsidR="000D6780" w:rsidRPr="0097536D" w:rsidRDefault="000D6780" w:rsidP="00D50BBD">
            <w:pPr>
              <w:tabs>
                <w:tab w:val="left" w:pos="7245"/>
              </w:tabs>
              <w:jc w:val="center"/>
            </w:pPr>
            <w:r w:rsidRPr="0097536D">
              <w:t>SP/CONAGREP- MRSI</w:t>
            </w:r>
          </w:p>
        </w:tc>
        <w:tc>
          <w:tcPr>
            <w:tcW w:w="7119" w:type="dxa"/>
            <w:tcBorders>
              <w:left w:val="single" w:sz="4" w:space="0" w:color="auto"/>
              <w:right w:val="single" w:sz="4" w:space="0" w:color="auto"/>
            </w:tcBorders>
            <w:shd w:val="clear" w:color="auto" w:fill="auto"/>
          </w:tcPr>
          <w:p w:rsidR="000D6780" w:rsidRPr="005657AA" w:rsidRDefault="000D6780" w:rsidP="00D50BBD">
            <w:pPr>
              <w:rPr>
                <w:sz w:val="32"/>
                <w:szCs w:val="28"/>
              </w:rPr>
            </w:pPr>
            <w:r>
              <w:rPr>
                <w:szCs w:val="28"/>
              </w:rPr>
              <w:t>Guide méthodologique de l’évaluation économique des écosystè</w:t>
            </w:r>
            <w:r w:rsidRPr="005657AA">
              <w:rPr>
                <w:szCs w:val="28"/>
              </w:rPr>
              <w:t>mes</w:t>
            </w:r>
          </w:p>
        </w:tc>
      </w:tr>
      <w:tr w:rsidR="000D6780" w:rsidRPr="00AE657E" w:rsidTr="00D50BBD">
        <w:trPr>
          <w:trHeight w:val="376"/>
        </w:trPr>
        <w:tc>
          <w:tcPr>
            <w:tcW w:w="2804" w:type="dxa"/>
            <w:shd w:val="clear" w:color="auto" w:fill="auto"/>
          </w:tcPr>
          <w:p w:rsidR="000D6780" w:rsidRPr="0097536D" w:rsidRDefault="000D6780" w:rsidP="00D50BBD">
            <w:pPr>
              <w:tabs>
                <w:tab w:val="left" w:pos="7245"/>
              </w:tabs>
              <w:jc w:val="center"/>
            </w:pPr>
            <w:r w:rsidRPr="0097536D">
              <w:t>NATURAMA</w:t>
            </w:r>
          </w:p>
        </w:tc>
        <w:tc>
          <w:tcPr>
            <w:tcW w:w="7119" w:type="dxa"/>
            <w:shd w:val="clear" w:color="auto" w:fill="auto"/>
          </w:tcPr>
          <w:p w:rsidR="000D6780" w:rsidRPr="00AE657E" w:rsidRDefault="000D6780" w:rsidP="00D50BBD">
            <w:pPr>
              <w:rPr>
                <w:szCs w:val="28"/>
              </w:rPr>
            </w:pPr>
            <w:r w:rsidRPr="00755D25">
              <w:rPr>
                <w:szCs w:val="28"/>
              </w:rPr>
              <w:t>Rapport national BD</w:t>
            </w:r>
          </w:p>
        </w:tc>
      </w:tr>
      <w:tr w:rsidR="000D6780" w:rsidRPr="00AE657E" w:rsidTr="00D50BBD">
        <w:trPr>
          <w:trHeight w:val="388"/>
        </w:trPr>
        <w:tc>
          <w:tcPr>
            <w:tcW w:w="2804" w:type="dxa"/>
            <w:shd w:val="clear" w:color="auto" w:fill="auto"/>
          </w:tcPr>
          <w:p w:rsidR="000D6780" w:rsidRPr="0097536D" w:rsidRDefault="000D6780" w:rsidP="00D50BBD">
            <w:pPr>
              <w:tabs>
                <w:tab w:val="left" w:pos="7245"/>
              </w:tabs>
              <w:jc w:val="center"/>
            </w:pPr>
            <w:r w:rsidRPr="0097536D">
              <w:t>OFINAP/MERH</w:t>
            </w:r>
          </w:p>
        </w:tc>
        <w:tc>
          <w:tcPr>
            <w:tcW w:w="7119" w:type="dxa"/>
            <w:shd w:val="clear" w:color="auto" w:fill="auto"/>
          </w:tcPr>
          <w:p w:rsidR="000D6780" w:rsidRPr="00AE657E" w:rsidRDefault="000D6780" w:rsidP="00D50BBD">
            <w:pPr>
              <w:rPr>
                <w:szCs w:val="28"/>
              </w:rPr>
            </w:pPr>
            <w:r w:rsidRPr="002E7A29">
              <w:rPr>
                <w:szCs w:val="28"/>
              </w:rPr>
              <w:t>Formation aux méthodes simples d'évaluation économique des biens et services des écosystèmes naturels</w:t>
            </w:r>
          </w:p>
        </w:tc>
      </w:tr>
      <w:tr w:rsidR="000D6780" w:rsidRPr="00AE657E" w:rsidTr="00D50BBD">
        <w:trPr>
          <w:trHeight w:val="376"/>
        </w:trPr>
        <w:tc>
          <w:tcPr>
            <w:tcW w:w="2804" w:type="dxa"/>
            <w:shd w:val="clear" w:color="auto" w:fill="auto"/>
          </w:tcPr>
          <w:p w:rsidR="000D6780" w:rsidRPr="0097536D" w:rsidRDefault="000D6780" w:rsidP="00D50BBD">
            <w:pPr>
              <w:tabs>
                <w:tab w:val="left" w:pos="7245"/>
              </w:tabs>
              <w:jc w:val="center"/>
            </w:pPr>
            <w:r w:rsidRPr="0097536D">
              <w:t>CNSF/MERH</w:t>
            </w:r>
          </w:p>
        </w:tc>
        <w:tc>
          <w:tcPr>
            <w:tcW w:w="7119" w:type="dxa"/>
            <w:shd w:val="clear" w:color="auto" w:fill="auto"/>
          </w:tcPr>
          <w:p w:rsidR="000D6780" w:rsidRPr="00AE657E" w:rsidRDefault="000D6780" w:rsidP="00D50BBD">
            <w:pPr>
              <w:rPr>
                <w:szCs w:val="28"/>
              </w:rPr>
            </w:pPr>
            <w:r>
              <w:rPr>
                <w:szCs w:val="28"/>
              </w:rPr>
              <w:t>En cours</w:t>
            </w:r>
          </w:p>
        </w:tc>
      </w:tr>
      <w:tr w:rsidR="000D6780" w:rsidRPr="00AE657E" w:rsidTr="00D50BBD">
        <w:trPr>
          <w:trHeight w:val="388"/>
        </w:trPr>
        <w:tc>
          <w:tcPr>
            <w:tcW w:w="2804" w:type="dxa"/>
            <w:shd w:val="clear" w:color="auto" w:fill="auto"/>
          </w:tcPr>
          <w:p w:rsidR="000D6780" w:rsidRPr="0097536D" w:rsidRDefault="000D6780" w:rsidP="00D50BBD">
            <w:pPr>
              <w:tabs>
                <w:tab w:val="left" w:pos="7245"/>
              </w:tabs>
              <w:ind w:firstLine="708"/>
              <w:jc w:val="center"/>
            </w:pPr>
            <w:proofErr w:type="spellStart"/>
            <w:r w:rsidRPr="0097536D">
              <w:t>Labev</w:t>
            </w:r>
            <w:proofErr w:type="spellEnd"/>
            <w:r w:rsidRPr="0097536D">
              <w:t>/UO</w:t>
            </w:r>
          </w:p>
        </w:tc>
        <w:tc>
          <w:tcPr>
            <w:tcW w:w="7119" w:type="dxa"/>
            <w:shd w:val="clear" w:color="auto" w:fill="auto"/>
          </w:tcPr>
          <w:p w:rsidR="000D6780" w:rsidRPr="00AE657E" w:rsidRDefault="000D6780" w:rsidP="00D50BBD">
            <w:pPr>
              <w:rPr>
                <w:szCs w:val="28"/>
              </w:rPr>
            </w:pPr>
            <w:r>
              <w:rPr>
                <w:szCs w:val="28"/>
              </w:rPr>
              <w:t xml:space="preserve">Monographie Biodiversité </w:t>
            </w:r>
          </w:p>
        </w:tc>
      </w:tr>
      <w:tr w:rsidR="000D6780" w:rsidRPr="00AE657E" w:rsidTr="00D50BBD">
        <w:trPr>
          <w:trHeight w:val="388"/>
        </w:trPr>
        <w:tc>
          <w:tcPr>
            <w:tcW w:w="2804" w:type="dxa"/>
            <w:shd w:val="clear" w:color="auto" w:fill="auto"/>
          </w:tcPr>
          <w:p w:rsidR="000D6780" w:rsidRPr="0097536D" w:rsidRDefault="000D6780" w:rsidP="00D50BBD">
            <w:pPr>
              <w:tabs>
                <w:tab w:val="left" w:pos="1267"/>
              </w:tabs>
              <w:jc w:val="center"/>
            </w:pPr>
            <w:proofErr w:type="spellStart"/>
            <w:r w:rsidRPr="0097536D">
              <w:t>DiFor</w:t>
            </w:r>
            <w:proofErr w:type="spellEnd"/>
            <w:r w:rsidRPr="0097536D">
              <w:t>/MERH</w:t>
            </w:r>
          </w:p>
        </w:tc>
        <w:tc>
          <w:tcPr>
            <w:tcW w:w="7119" w:type="dxa"/>
            <w:shd w:val="clear" w:color="auto" w:fill="auto"/>
          </w:tcPr>
          <w:p w:rsidR="000D6780" w:rsidRPr="00AE657E" w:rsidRDefault="000D6780" w:rsidP="00D50BBD">
            <w:pPr>
              <w:rPr>
                <w:szCs w:val="28"/>
              </w:rPr>
            </w:pPr>
            <w:r w:rsidRPr="005657AA">
              <w:rPr>
                <w:szCs w:val="28"/>
              </w:rPr>
              <w:t>Investir dans les écosystèmes naturels pour garantir le développement durable</w:t>
            </w:r>
          </w:p>
        </w:tc>
      </w:tr>
      <w:tr w:rsidR="000D6780" w:rsidRPr="00AE657E" w:rsidTr="00D50BBD">
        <w:trPr>
          <w:trHeight w:val="388"/>
        </w:trPr>
        <w:tc>
          <w:tcPr>
            <w:tcW w:w="2804" w:type="dxa"/>
            <w:shd w:val="clear" w:color="auto" w:fill="auto"/>
          </w:tcPr>
          <w:p w:rsidR="000D6780" w:rsidRPr="0097536D" w:rsidRDefault="000D6780" w:rsidP="00D50BBD">
            <w:pPr>
              <w:tabs>
                <w:tab w:val="left" w:pos="1002"/>
              </w:tabs>
              <w:jc w:val="center"/>
            </w:pPr>
            <w:r w:rsidRPr="0097536D">
              <w:t>INERA/DPF</w:t>
            </w:r>
          </w:p>
        </w:tc>
        <w:tc>
          <w:tcPr>
            <w:tcW w:w="7119" w:type="dxa"/>
            <w:shd w:val="clear" w:color="auto" w:fill="auto"/>
          </w:tcPr>
          <w:p w:rsidR="000D6780" w:rsidRPr="00AE657E" w:rsidRDefault="000D6780" w:rsidP="00D50BBD">
            <w:pPr>
              <w:rPr>
                <w:szCs w:val="28"/>
              </w:rPr>
            </w:pPr>
            <w:proofErr w:type="spellStart"/>
            <w:r w:rsidRPr="00755D25">
              <w:rPr>
                <w:szCs w:val="28"/>
              </w:rPr>
              <w:t>MonoDiverBio</w:t>
            </w:r>
            <w:proofErr w:type="spellEnd"/>
          </w:p>
        </w:tc>
      </w:tr>
      <w:tr w:rsidR="000D6780" w:rsidRPr="00AE657E" w:rsidTr="00D50BBD">
        <w:trPr>
          <w:trHeight w:val="376"/>
        </w:trPr>
        <w:tc>
          <w:tcPr>
            <w:tcW w:w="2804" w:type="dxa"/>
            <w:shd w:val="clear" w:color="auto" w:fill="auto"/>
          </w:tcPr>
          <w:p w:rsidR="000D6780" w:rsidRPr="0097536D" w:rsidRDefault="000D6780" w:rsidP="00D50BBD">
            <w:pPr>
              <w:tabs>
                <w:tab w:val="left" w:pos="7245"/>
              </w:tabs>
              <w:jc w:val="center"/>
            </w:pPr>
            <w:r w:rsidRPr="0097536D">
              <w:t>DFC/DGFF</w:t>
            </w:r>
          </w:p>
        </w:tc>
        <w:tc>
          <w:tcPr>
            <w:tcW w:w="7119" w:type="dxa"/>
            <w:shd w:val="clear" w:color="auto" w:fill="auto"/>
          </w:tcPr>
          <w:p w:rsidR="000D6780" w:rsidRPr="00AE657E" w:rsidRDefault="000D6780" w:rsidP="00D50BBD">
            <w:pPr>
              <w:rPr>
                <w:szCs w:val="28"/>
              </w:rPr>
            </w:pPr>
            <w:r w:rsidRPr="005657AA">
              <w:rPr>
                <w:szCs w:val="28"/>
              </w:rPr>
              <w:t>La biodiversité en danger en Afrique</w:t>
            </w:r>
          </w:p>
        </w:tc>
      </w:tr>
      <w:tr w:rsidR="000D6780" w:rsidRPr="00AE657E" w:rsidTr="00D50BBD">
        <w:trPr>
          <w:trHeight w:val="388"/>
        </w:trPr>
        <w:tc>
          <w:tcPr>
            <w:tcW w:w="2804" w:type="dxa"/>
            <w:shd w:val="clear" w:color="auto" w:fill="auto"/>
          </w:tcPr>
          <w:p w:rsidR="000D6780" w:rsidRPr="0097536D" w:rsidRDefault="000D6780" w:rsidP="00D50BBD">
            <w:pPr>
              <w:tabs>
                <w:tab w:val="left" w:pos="7245"/>
              </w:tabs>
              <w:ind w:firstLine="708"/>
              <w:jc w:val="center"/>
            </w:pPr>
            <w:r w:rsidRPr="0097536D">
              <w:t>ARSN/MERH</w:t>
            </w:r>
          </w:p>
        </w:tc>
        <w:tc>
          <w:tcPr>
            <w:tcW w:w="7119" w:type="dxa"/>
            <w:shd w:val="clear" w:color="auto" w:fill="auto"/>
          </w:tcPr>
          <w:p w:rsidR="000D6780" w:rsidRPr="00AE657E" w:rsidRDefault="000D6780" w:rsidP="00D50BBD">
            <w:pPr>
              <w:rPr>
                <w:szCs w:val="28"/>
              </w:rPr>
            </w:pPr>
            <w:r>
              <w:rPr>
                <w:szCs w:val="28"/>
              </w:rPr>
              <w:t>Evaluation économique écosystème</w:t>
            </w:r>
          </w:p>
        </w:tc>
      </w:tr>
      <w:tr w:rsidR="000D6780" w:rsidRPr="00AE657E" w:rsidTr="00D50BBD">
        <w:trPr>
          <w:trHeight w:val="388"/>
        </w:trPr>
        <w:tc>
          <w:tcPr>
            <w:tcW w:w="2804" w:type="dxa"/>
            <w:shd w:val="clear" w:color="auto" w:fill="auto"/>
          </w:tcPr>
          <w:p w:rsidR="000D6780" w:rsidRPr="0097536D" w:rsidRDefault="000D6780" w:rsidP="00D50BBD">
            <w:pPr>
              <w:tabs>
                <w:tab w:val="left" w:pos="7245"/>
              </w:tabs>
              <w:jc w:val="center"/>
            </w:pPr>
            <w:r w:rsidRPr="0097536D">
              <w:t>DFC/MERH</w:t>
            </w:r>
          </w:p>
        </w:tc>
        <w:tc>
          <w:tcPr>
            <w:tcW w:w="7119" w:type="dxa"/>
            <w:shd w:val="clear" w:color="auto" w:fill="auto"/>
          </w:tcPr>
          <w:p w:rsidR="000D6780" w:rsidRPr="00AE657E" w:rsidRDefault="000D6780" w:rsidP="00D50BBD">
            <w:pPr>
              <w:rPr>
                <w:szCs w:val="28"/>
              </w:rPr>
            </w:pPr>
            <w:r w:rsidRPr="005657AA">
              <w:rPr>
                <w:szCs w:val="28"/>
              </w:rPr>
              <w:t>Lettre des Aires Protégées en Afrique de l</w:t>
            </w:r>
          </w:p>
        </w:tc>
      </w:tr>
      <w:tr w:rsidR="000D6780" w:rsidRPr="00AE657E" w:rsidTr="00D50BBD">
        <w:trPr>
          <w:trHeight w:val="376"/>
        </w:trPr>
        <w:tc>
          <w:tcPr>
            <w:tcW w:w="2804" w:type="dxa"/>
            <w:vMerge w:val="restart"/>
            <w:shd w:val="clear" w:color="auto" w:fill="auto"/>
          </w:tcPr>
          <w:p w:rsidR="000D6780" w:rsidRDefault="000D6780" w:rsidP="00D50BBD">
            <w:pPr>
              <w:tabs>
                <w:tab w:val="left" w:pos="503"/>
                <w:tab w:val="center" w:pos="1294"/>
                <w:tab w:val="left" w:pos="7245"/>
              </w:tabs>
            </w:pPr>
            <w:r>
              <w:tab/>
            </w:r>
          </w:p>
          <w:p w:rsidR="000D6780" w:rsidRPr="0097536D" w:rsidRDefault="000D6780" w:rsidP="00D50BBD">
            <w:pPr>
              <w:tabs>
                <w:tab w:val="left" w:pos="503"/>
                <w:tab w:val="center" w:pos="1294"/>
                <w:tab w:val="left" w:pos="7245"/>
              </w:tabs>
            </w:pPr>
            <w:r>
              <w:tab/>
            </w:r>
            <w:r w:rsidRPr="0097536D">
              <w:t>ANB/MRSI</w:t>
            </w:r>
          </w:p>
        </w:tc>
        <w:tc>
          <w:tcPr>
            <w:tcW w:w="7119" w:type="dxa"/>
            <w:shd w:val="clear" w:color="auto" w:fill="auto"/>
          </w:tcPr>
          <w:p w:rsidR="000D6780" w:rsidRPr="00AE657E" w:rsidRDefault="000D6780" w:rsidP="00D50BBD">
            <w:pPr>
              <w:rPr>
                <w:szCs w:val="28"/>
              </w:rPr>
            </w:pPr>
            <w:r>
              <w:rPr>
                <w:szCs w:val="28"/>
              </w:rPr>
              <w:t>Loi Biosécurité du Burkina Faso</w:t>
            </w:r>
          </w:p>
        </w:tc>
      </w:tr>
      <w:tr w:rsidR="000D6780" w:rsidRPr="00AE657E" w:rsidTr="00D50BBD">
        <w:trPr>
          <w:trHeight w:val="376"/>
        </w:trPr>
        <w:tc>
          <w:tcPr>
            <w:tcW w:w="2804" w:type="dxa"/>
            <w:vMerge/>
            <w:shd w:val="clear" w:color="auto" w:fill="auto"/>
          </w:tcPr>
          <w:p w:rsidR="000D6780" w:rsidRPr="0097536D" w:rsidRDefault="000D6780" w:rsidP="00D50BBD">
            <w:pPr>
              <w:tabs>
                <w:tab w:val="left" w:pos="7245"/>
              </w:tabs>
              <w:jc w:val="center"/>
            </w:pPr>
          </w:p>
        </w:tc>
        <w:tc>
          <w:tcPr>
            <w:tcW w:w="7119" w:type="dxa"/>
            <w:shd w:val="clear" w:color="auto" w:fill="auto"/>
          </w:tcPr>
          <w:p w:rsidR="000D6780" w:rsidRPr="00AE657E" w:rsidRDefault="000D6780" w:rsidP="00D50BBD">
            <w:pPr>
              <w:rPr>
                <w:szCs w:val="28"/>
              </w:rPr>
            </w:pPr>
            <w:r>
              <w:rPr>
                <w:szCs w:val="28"/>
              </w:rPr>
              <w:t>P</w:t>
            </w:r>
            <w:r w:rsidRPr="00755D25">
              <w:rPr>
                <w:szCs w:val="28"/>
              </w:rPr>
              <w:t>rotocole-de-cartagena-sur-la-prévention-des-risques-biotechnologiques</w:t>
            </w:r>
          </w:p>
        </w:tc>
      </w:tr>
    </w:tbl>
    <w:p w:rsidR="000D6780" w:rsidRDefault="000D6780" w:rsidP="000D6780">
      <w:pPr>
        <w:tabs>
          <w:tab w:val="left" w:pos="7245"/>
        </w:tabs>
        <w:rPr>
          <w:b/>
        </w:rPr>
      </w:pPr>
    </w:p>
    <w:p w:rsidR="000D6780" w:rsidRPr="00E164D5" w:rsidRDefault="000D6780" w:rsidP="000D6780">
      <w:pPr>
        <w:tabs>
          <w:tab w:val="left" w:pos="7245"/>
        </w:tabs>
        <w:jc w:val="both"/>
      </w:pPr>
    </w:p>
    <w:p w:rsidR="000D6780" w:rsidRPr="00D922C7" w:rsidRDefault="000D6780" w:rsidP="000D3547">
      <w:pPr>
        <w:pStyle w:val="Paragraphedeliste"/>
        <w:tabs>
          <w:tab w:val="left" w:pos="7245"/>
        </w:tabs>
        <w:suppressAutoHyphens w:val="0"/>
        <w:spacing w:after="200" w:line="360" w:lineRule="auto"/>
        <w:ind w:left="1080"/>
        <w:rPr>
          <w:b/>
        </w:rPr>
      </w:pPr>
      <w:r w:rsidRPr="00D922C7">
        <w:rPr>
          <w:b/>
        </w:rPr>
        <w:t>DIFFICULTES RENCONTREES</w:t>
      </w:r>
    </w:p>
    <w:p w:rsidR="000D6780" w:rsidRDefault="000D6780" w:rsidP="000D6780">
      <w:pPr>
        <w:tabs>
          <w:tab w:val="left" w:pos="7245"/>
        </w:tabs>
        <w:jc w:val="both"/>
      </w:pPr>
      <w:r>
        <w:t>Reparti en deux groupes de sorties terrain, l’organisation de la collecte de données a connu un certain nombre de difficultés surtout au niveau de l’accès aux données disponibles avec les différents structures partenaires.</w:t>
      </w:r>
    </w:p>
    <w:p w:rsidR="000D6780" w:rsidRPr="00D922C7" w:rsidRDefault="000D6780" w:rsidP="000D6780">
      <w:pPr>
        <w:tabs>
          <w:tab w:val="left" w:pos="7245"/>
        </w:tabs>
        <w:jc w:val="both"/>
      </w:pPr>
      <w:r>
        <w:t xml:space="preserve">Certains des acteurs rencontrés ont exigé la notification d’une lettre officielle de la part du SP/CONEDD, demandeur de services, adressée à la structure </w:t>
      </w:r>
      <w:r>
        <w:lastRenderedPageBreak/>
        <w:t xml:space="preserve">détentrice des données existantes. Pourtant cette démarche qui alourdit l’exécution des activités avait fait l’objet d’un accord formel exprimé par les participants. </w:t>
      </w:r>
    </w:p>
    <w:p w:rsidR="000D6780" w:rsidRDefault="000D6780" w:rsidP="000D6780">
      <w:pPr>
        <w:tabs>
          <w:tab w:val="left" w:pos="7245"/>
        </w:tabs>
        <w:jc w:val="both"/>
      </w:pPr>
      <w:r>
        <w:t>Toutes fois, la plus part de nos requêtes sont restées sous forme de transmission par les tiers, qui, si nous voulons en disposer, fera l’objet d’une autre sortie terrain.</w:t>
      </w:r>
    </w:p>
    <w:p w:rsidR="000D6780" w:rsidRDefault="000D6780" w:rsidP="000D6780"/>
    <w:p w:rsidR="000D6780" w:rsidRDefault="000D6780" w:rsidP="000D6780">
      <w:pPr>
        <w:jc w:val="both"/>
      </w:pPr>
      <w:r>
        <w:t>La mission</w:t>
      </w:r>
      <w:r w:rsidRPr="007168D9">
        <w:t xml:space="preserve"> d’information et de collecte des données</w:t>
      </w:r>
      <w:r>
        <w:t xml:space="preserve"> auprès des acteurs partenaires au CHM s’est réalisée avec une satisfaction de 50%. Les structures administratives, détentrices des informations n’ont aucunement favorisé la réussite de l’activité, simplement parce que, soit le détenteur des données est en mission, soit qu’il faut rencontrer les premiers responsables, en discuter au préalable, avoir leur aval, ces derniers toujours avec un calendrier chargé ou non disponibles.</w:t>
      </w:r>
    </w:p>
    <w:p w:rsidR="000D3547" w:rsidRDefault="000D3547" w:rsidP="000D6780">
      <w:pPr>
        <w:spacing w:line="360" w:lineRule="auto"/>
        <w:ind w:right="72"/>
        <w:rPr>
          <w:b/>
          <w:sz w:val="28"/>
          <w:u w:val="single"/>
        </w:rPr>
      </w:pPr>
    </w:p>
    <w:p w:rsidR="000D3547" w:rsidRDefault="000D3547" w:rsidP="000D3547">
      <w:pPr>
        <w:spacing w:line="276" w:lineRule="auto"/>
        <w:rPr>
          <w:rFonts w:cs="Helvetica"/>
          <w:b/>
          <w:i/>
          <w:spacing w:val="2"/>
          <w:lang w:val="fr-BE"/>
        </w:rPr>
      </w:pPr>
      <w:r w:rsidRPr="000D3547">
        <w:rPr>
          <w:rFonts w:cs="Helvetica"/>
          <w:b/>
          <w:i/>
          <w:spacing w:val="2"/>
          <w:lang w:val="fr-BE"/>
        </w:rPr>
        <w:t>Des activités restantes</w:t>
      </w:r>
    </w:p>
    <w:p w:rsidR="000D3547" w:rsidRPr="000D3547" w:rsidRDefault="000D3547" w:rsidP="000D3547">
      <w:pPr>
        <w:rPr>
          <w:rFonts w:cs="Helvetica"/>
          <w:lang w:val="fr-BE"/>
        </w:rPr>
      </w:pPr>
    </w:p>
    <w:p w:rsidR="000D3547" w:rsidRDefault="000D3547" w:rsidP="000D3547">
      <w:pPr>
        <w:rPr>
          <w:rFonts w:cs="Helvetica"/>
          <w:lang w:val="fr-BE"/>
        </w:rPr>
      </w:pPr>
      <w:r>
        <w:rPr>
          <w:rFonts w:cs="Helvetica"/>
          <w:lang w:val="fr-BE"/>
        </w:rPr>
        <w:t>Au nombre de deux, les activités à venir pour le CHM l’élaboration de sa stratégie, du plan d’action et de leur validation nationale :</w:t>
      </w:r>
    </w:p>
    <w:p w:rsidR="000D3547" w:rsidRDefault="000D3547" w:rsidP="000D3547">
      <w:pPr>
        <w:rPr>
          <w:rFonts w:cs="Helvetica"/>
          <w:lang w:val="fr-BE"/>
        </w:rPr>
      </w:pPr>
    </w:p>
    <w:p w:rsidR="000D3547" w:rsidRDefault="000D3547" w:rsidP="000D3547">
      <w:pPr>
        <w:spacing w:line="276" w:lineRule="auto"/>
        <w:rPr>
          <w:rFonts w:cs="Helvetica"/>
          <w:b/>
          <w:i/>
          <w:spacing w:val="2"/>
          <w:lang w:val="fr-BE"/>
        </w:rPr>
      </w:pPr>
      <w:r w:rsidRPr="000D3547">
        <w:rPr>
          <w:rFonts w:cs="Helvetica"/>
          <w:b/>
          <w:i/>
          <w:spacing w:val="2"/>
          <w:lang w:val="fr-BE"/>
        </w:rPr>
        <w:t xml:space="preserve">De l’élaboration d’une stratégie nationale pour le CHM et asservie d’un plan d’action </w:t>
      </w:r>
    </w:p>
    <w:p w:rsidR="000D3547" w:rsidRDefault="000D3547" w:rsidP="000D3547">
      <w:pPr>
        <w:spacing w:line="276" w:lineRule="auto"/>
        <w:rPr>
          <w:rFonts w:cs="Helvetica"/>
          <w:b/>
          <w:i/>
          <w:spacing w:val="2"/>
          <w:lang w:val="fr-BE"/>
        </w:rPr>
      </w:pPr>
    </w:p>
    <w:p w:rsidR="000D3547" w:rsidRDefault="000D3547" w:rsidP="000D3547">
      <w:pPr>
        <w:spacing w:line="276" w:lineRule="auto"/>
        <w:rPr>
          <w:rFonts w:cs="Helvetica"/>
          <w:spacing w:val="2"/>
          <w:lang w:val="fr-BE"/>
        </w:rPr>
      </w:pPr>
      <w:r>
        <w:rPr>
          <w:rFonts w:cs="Helvetica"/>
          <w:spacing w:val="2"/>
          <w:lang w:val="fr-BE"/>
        </w:rPr>
        <w:t xml:space="preserve">Confié au groupe de travail de la biodiversité, le premier </w:t>
      </w:r>
      <w:proofErr w:type="spellStart"/>
      <w:r>
        <w:rPr>
          <w:rFonts w:cs="Helvetica"/>
          <w:spacing w:val="2"/>
          <w:lang w:val="fr-BE"/>
        </w:rPr>
        <w:t>draf</w:t>
      </w:r>
      <w:proofErr w:type="spellEnd"/>
      <w:r>
        <w:rPr>
          <w:rFonts w:cs="Helvetica"/>
          <w:spacing w:val="2"/>
          <w:lang w:val="fr-BE"/>
        </w:rPr>
        <w:t xml:space="preserve"> est prévu être examiné courant mars 2016, avec le concours du point focal Diversité biologique et du point focal CHM.</w:t>
      </w:r>
      <w:r w:rsidR="00C2180F">
        <w:rPr>
          <w:rFonts w:cs="Helvetica"/>
          <w:spacing w:val="2"/>
          <w:lang w:val="fr-BE"/>
        </w:rPr>
        <w:t xml:space="preserve"> (</w:t>
      </w:r>
      <w:r w:rsidR="00C2180F" w:rsidRPr="00C2180F">
        <w:rPr>
          <w:rFonts w:cs="Helvetica"/>
          <w:b/>
          <w:spacing w:val="2"/>
          <w:lang w:val="fr-BE"/>
        </w:rPr>
        <w:t>Budget à recourir</w:t>
      </w:r>
      <w:r w:rsidR="00C2180F">
        <w:rPr>
          <w:rFonts w:cs="Helvetica"/>
          <w:spacing w:val="2"/>
          <w:lang w:val="fr-BE"/>
        </w:rPr>
        <w:t>)</w:t>
      </w:r>
    </w:p>
    <w:p w:rsidR="000D3547" w:rsidRPr="000D3547" w:rsidRDefault="000D3547" w:rsidP="000D3547">
      <w:pPr>
        <w:spacing w:line="276" w:lineRule="auto"/>
        <w:rPr>
          <w:rFonts w:cs="Helvetica"/>
          <w:spacing w:val="2"/>
          <w:lang w:val="fr-BE"/>
        </w:rPr>
      </w:pPr>
    </w:p>
    <w:p w:rsidR="000D3547" w:rsidRPr="000D3547" w:rsidRDefault="000D3547" w:rsidP="000D3547">
      <w:pPr>
        <w:rPr>
          <w:rFonts w:cs="Helvetica"/>
          <w:b/>
          <w:i/>
          <w:spacing w:val="2"/>
          <w:lang w:val="fr-BE"/>
        </w:rPr>
      </w:pPr>
      <w:r w:rsidRPr="000D3547">
        <w:rPr>
          <w:rFonts w:cs="Helvetica"/>
          <w:b/>
          <w:i/>
          <w:spacing w:val="2"/>
          <w:lang w:val="fr-BE"/>
        </w:rPr>
        <w:t xml:space="preserve">De la validation de la stratégie nationale et du plan d’actions pour le CHM </w:t>
      </w:r>
    </w:p>
    <w:p w:rsidR="000D3547" w:rsidRDefault="000D3547" w:rsidP="000D3547">
      <w:pPr>
        <w:rPr>
          <w:rFonts w:cs="Helvetica"/>
          <w:b/>
          <w:i/>
          <w:spacing w:val="2"/>
          <w:lang w:val="fr-BE"/>
        </w:rPr>
      </w:pPr>
    </w:p>
    <w:p w:rsidR="000D3547" w:rsidRPr="000D3547" w:rsidRDefault="000D3547" w:rsidP="000D3547">
      <w:pPr>
        <w:rPr>
          <w:rFonts w:cs="Helvetica"/>
          <w:lang w:val="fr-BE"/>
        </w:rPr>
      </w:pPr>
      <w:r>
        <w:rPr>
          <w:rFonts w:cs="Helvetica"/>
          <w:lang w:val="fr-BE"/>
        </w:rPr>
        <w:t xml:space="preserve">Suite à la validation interne </w:t>
      </w:r>
      <w:r w:rsidR="00DC773D">
        <w:rPr>
          <w:rFonts w:cs="Helvetica"/>
          <w:lang w:val="fr-BE"/>
        </w:rPr>
        <w:t>au sein du groupe technique de travail, il est prévu se tenir un atelier national de validation de la stratégie élaborée et son plan d’action national.</w:t>
      </w:r>
      <w:r w:rsidR="00C2180F">
        <w:rPr>
          <w:rFonts w:cs="Helvetica"/>
          <w:lang w:val="fr-BE"/>
        </w:rPr>
        <w:t xml:space="preserve"> (</w:t>
      </w:r>
      <w:r w:rsidR="00C2180F" w:rsidRPr="00C2180F">
        <w:rPr>
          <w:rFonts w:cs="Helvetica"/>
          <w:b/>
          <w:lang w:val="fr-BE"/>
        </w:rPr>
        <w:t>Budget disponible</w:t>
      </w:r>
      <w:r w:rsidR="00C2180F">
        <w:rPr>
          <w:rFonts w:cs="Helvetica"/>
          <w:lang w:val="fr-BE"/>
        </w:rPr>
        <w:t>)</w:t>
      </w:r>
    </w:p>
    <w:sectPr w:rsidR="000D3547" w:rsidRPr="000D3547" w:rsidSect="00780CD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9A1" w:rsidRDefault="00C709A1" w:rsidP="00D84CDB">
      <w:r>
        <w:separator/>
      </w:r>
    </w:p>
  </w:endnote>
  <w:endnote w:type="continuationSeparator" w:id="1">
    <w:p w:rsidR="00C709A1" w:rsidRDefault="00C709A1" w:rsidP="00D84C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DB" w:rsidRPr="00577A03" w:rsidRDefault="00D84CDB" w:rsidP="00577A03">
    <w:pPr>
      <w:pStyle w:val="Pieddepage"/>
      <w:jc w:val="center"/>
      <w:rPr>
        <w:i/>
        <w:sz w:val="18"/>
      </w:rPr>
    </w:pPr>
    <w:r w:rsidRPr="00577A03">
      <w:rPr>
        <w:i/>
        <w:sz w:val="18"/>
      </w:rPr>
      <w:t xml:space="preserve">Rapport </w:t>
    </w:r>
    <w:r w:rsidR="00886E54" w:rsidRPr="00886E54">
      <w:rPr>
        <w:i/>
        <w:sz w:val="18"/>
      </w:rPr>
      <w:t>financier partiel du contrat de prestation de service 2014/SO2-CHM-02/46</w:t>
    </w:r>
  </w:p>
  <w:p w:rsidR="00D84CDB" w:rsidRPr="00577A03" w:rsidRDefault="00D84CDB" w:rsidP="00577A03">
    <w:pPr>
      <w:pStyle w:val="Pieddepage"/>
      <w:jc w:val="center"/>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9A1" w:rsidRDefault="00C709A1" w:rsidP="00D84CDB">
      <w:r>
        <w:separator/>
      </w:r>
    </w:p>
  </w:footnote>
  <w:footnote w:type="continuationSeparator" w:id="1">
    <w:p w:rsidR="00C709A1" w:rsidRDefault="00C709A1" w:rsidP="00D84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8E1"/>
    <w:multiLevelType w:val="hybridMultilevel"/>
    <w:tmpl w:val="02FA6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760CD5"/>
    <w:multiLevelType w:val="hybridMultilevel"/>
    <w:tmpl w:val="E408C93A"/>
    <w:lvl w:ilvl="0" w:tplc="417E03E2">
      <w:start w:val="1"/>
      <w:numFmt w:val="bullet"/>
      <w:lvlText w:val="-"/>
      <w:lvlJc w:val="left"/>
      <w:pPr>
        <w:tabs>
          <w:tab w:val="num" w:pos="720"/>
        </w:tabs>
        <w:ind w:left="720" w:hanging="360"/>
      </w:pPr>
      <w:rPr>
        <w:rFonts w:ascii="Times New Roman" w:hAnsi="Times New Roman" w:hint="default"/>
      </w:rPr>
    </w:lvl>
    <w:lvl w:ilvl="1" w:tplc="3DAA18AE" w:tentative="1">
      <w:start w:val="1"/>
      <w:numFmt w:val="bullet"/>
      <w:lvlText w:val="-"/>
      <w:lvlJc w:val="left"/>
      <w:pPr>
        <w:tabs>
          <w:tab w:val="num" w:pos="1440"/>
        </w:tabs>
        <w:ind w:left="1440" w:hanging="360"/>
      </w:pPr>
      <w:rPr>
        <w:rFonts w:ascii="Times New Roman" w:hAnsi="Times New Roman" w:hint="default"/>
      </w:rPr>
    </w:lvl>
    <w:lvl w:ilvl="2" w:tplc="2004A7A6" w:tentative="1">
      <w:start w:val="1"/>
      <w:numFmt w:val="bullet"/>
      <w:lvlText w:val="-"/>
      <w:lvlJc w:val="left"/>
      <w:pPr>
        <w:tabs>
          <w:tab w:val="num" w:pos="2160"/>
        </w:tabs>
        <w:ind w:left="2160" w:hanging="360"/>
      </w:pPr>
      <w:rPr>
        <w:rFonts w:ascii="Times New Roman" w:hAnsi="Times New Roman" w:hint="default"/>
      </w:rPr>
    </w:lvl>
    <w:lvl w:ilvl="3" w:tplc="263C4AA4" w:tentative="1">
      <w:start w:val="1"/>
      <w:numFmt w:val="bullet"/>
      <w:lvlText w:val="-"/>
      <w:lvlJc w:val="left"/>
      <w:pPr>
        <w:tabs>
          <w:tab w:val="num" w:pos="2880"/>
        </w:tabs>
        <w:ind w:left="2880" w:hanging="360"/>
      </w:pPr>
      <w:rPr>
        <w:rFonts w:ascii="Times New Roman" w:hAnsi="Times New Roman" w:hint="default"/>
      </w:rPr>
    </w:lvl>
    <w:lvl w:ilvl="4" w:tplc="045A69FA" w:tentative="1">
      <w:start w:val="1"/>
      <w:numFmt w:val="bullet"/>
      <w:lvlText w:val="-"/>
      <w:lvlJc w:val="left"/>
      <w:pPr>
        <w:tabs>
          <w:tab w:val="num" w:pos="3600"/>
        </w:tabs>
        <w:ind w:left="3600" w:hanging="360"/>
      </w:pPr>
      <w:rPr>
        <w:rFonts w:ascii="Times New Roman" w:hAnsi="Times New Roman" w:hint="default"/>
      </w:rPr>
    </w:lvl>
    <w:lvl w:ilvl="5" w:tplc="061231F4" w:tentative="1">
      <w:start w:val="1"/>
      <w:numFmt w:val="bullet"/>
      <w:lvlText w:val="-"/>
      <w:lvlJc w:val="left"/>
      <w:pPr>
        <w:tabs>
          <w:tab w:val="num" w:pos="4320"/>
        </w:tabs>
        <w:ind w:left="4320" w:hanging="360"/>
      </w:pPr>
      <w:rPr>
        <w:rFonts w:ascii="Times New Roman" w:hAnsi="Times New Roman" w:hint="default"/>
      </w:rPr>
    </w:lvl>
    <w:lvl w:ilvl="6" w:tplc="B5D899EC" w:tentative="1">
      <w:start w:val="1"/>
      <w:numFmt w:val="bullet"/>
      <w:lvlText w:val="-"/>
      <w:lvlJc w:val="left"/>
      <w:pPr>
        <w:tabs>
          <w:tab w:val="num" w:pos="5040"/>
        </w:tabs>
        <w:ind w:left="5040" w:hanging="360"/>
      </w:pPr>
      <w:rPr>
        <w:rFonts w:ascii="Times New Roman" w:hAnsi="Times New Roman" w:hint="default"/>
      </w:rPr>
    </w:lvl>
    <w:lvl w:ilvl="7" w:tplc="97BA3496" w:tentative="1">
      <w:start w:val="1"/>
      <w:numFmt w:val="bullet"/>
      <w:lvlText w:val="-"/>
      <w:lvlJc w:val="left"/>
      <w:pPr>
        <w:tabs>
          <w:tab w:val="num" w:pos="5760"/>
        </w:tabs>
        <w:ind w:left="5760" w:hanging="360"/>
      </w:pPr>
      <w:rPr>
        <w:rFonts w:ascii="Times New Roman" w:hAnsi="Times New Roman" w:hint="default"/>
      </w:rPr>
    </w:lvl>
    <w:lvl w:ilvl="8" w:tplc="B5C6F2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903BA7"/>
    <w:multiLevelType w:val="hybridMultilevel"/>
    <w:tmpl w:val="5768C3CE"/>
    <w:lvl w:ilvl="0" w:tplc="F93C0C4C">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17B32"/>
    <w:multiLevelType w:val="hybridMultilevel"/>
    <w:tmpl w:val="07A48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7E6CC3"/>
    <w:multiLevelType w:val="hybridMultilevel"/>
    <w:tmpl w:val="B6F6A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3F40BC"/>
    <w:multiLevelType w:val="hybridMultilevel"/>
    <w:tmpl w:val="37483BBA"/>
    <w:lvl w:ilvl="0" w:tplc="9E523B70">
      <w:numFmt w:val="bullet"/>
      <w:lvlText w:val="-"/>
      <w:lvlJc w:val="left"/>
      <w:pPr>
        <w:ind w:left="720" w:hanging="360"/>
      </w:pPr>
      <w:rPr>
        <w:rFonts w:ascii="Bookman Old Style" w:eastAsia="Calibri"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595110"/>
    <w:multiLevelType w:val="hybridMultilevel"/>
    <w:tmpl w:val="748A45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1E6848"/>
    <w:multiLevelType w:val="hybridMultilevel"/>
    <w:tmpl w:val="E2DA5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D92B97"/>
    <w:multiLevelType w:val="multilevel"/>
    <w:tmpl w:val="E03E2D5E"/>
    <w:lvl w:ilvl="0">
      <w:start w:val="1"/>
      <w:numFmt w:val="upperRoman"/>
      <w:lvlText w:val="%1."/>
      <w:lvlJc w:val="left"/>
      <w:pPr>
        <w:ind w:left="108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2FF91071"/>
    <w:multiLevelType w:val="hybridMultilevel"/>
    <w:tmpl w:val="08667958"/>
    <w:lvl w:ilvl="0" w:tplc="F2F070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997AE8"/>
    <w:multiLevelType w:val="hybridMultilevel"/>
    <w:tmpl w:val="C88EA4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E24320"/>
    <w:multiLevelType w:val="multilevel"/>
    <w:tmpl w:val="BCD00F32"/>
    <w:lvl w:ilvl="0">
      <w:start w:val="1"/>
      <w:numFmt w:val="decimal"/>
      <w:lvlText w:val="%1."/>
      <w:lvlJc w:val="left"/>
      <w:pPr>
        <w:ind w:left="570" w:hanging="57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2160" w:hanging="216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520" w:hanging="2520"/>
      </w:pPr>
      <w:rPr>
        <w:rFonts w:cs="Times New Roman" w:hint="default"/>
        <w:color w:val="auto"/>
      </w:rPr>
    </w:lvl>
  </w:abstractNum>
  <w:abstractNum w:abstractNumId="12">
    <w:nsid w:val="3CAF3509"/>
    <w:multiLevelType w:val="hybridMultilevel"/>
    <w:tmpl w:val="DB1A22B6"/>
    <w:lvl w:ilvl="0" w:tplc="7A00EB48">
      <w:numFmt w:val="bullet"/>
      <w:lvlText w:val="-"/>
      <w:lvlJc w:val="left"/>
      <w:pPr>
        <w:ind w:left="720" w:hanging="360"/>
      </w:pPr>
      <w:rPr>
        <w:rFonts w:ascii="Bookman Old Style" w:eastAsiaTheme="minorHAnsi" w:hAnsi="Bookman Old Style" w:cs="Time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6B5D9B"/>
    <w:multiLevelType w:val="hybridMultilevel"/>
    <w:tmpl w:val="AD40E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2F2639"/>
    <w:multiLevelType w:val="hybridMultilevel"/>
    <w:tmpl w:val="7B2E2E66"/>
    <w:lvl w:ilvl="0" w:tplc="4D040404">
      <w:start w:val="3"/>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DB4E08"/>
    <w:multiLevelType w:val="hybridMultilevel"/>
    <w:tmpl w:val="76367E7E"/>
    <w:lvl w:ilvl="0" w:tplc="6212AED4">
      <w:numFmt w:val="bullet"/>
      <w:lvlText w:val="-"/>
      <w:lvlJc w:val="left"/>
      <w:pPr>
        <w:ind w:left="1080" w:hanging="360"/>
      </w:pPr>
      <w:rPr>
        <w:rFonts w:ascii="Bookman Old Style" w:eastAsia="Times New Roman" w:hAnsi="Bookman Old Style" w:cs="Time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09E35BD"/>
    <w:multiLevelType w:val="hybridMultilevel"/>
    <w:tmpl w:val="16006DC0"/>
    <w:lvl w:ilvl="0" w:tplc="92B49498">
      <w:start w:val="2"/>
      <w:numFmt w:val="bullet"/>
      <w:lvlText w:val="-"/>
      <w:lvlJc w:val="left"/>
      <w:pPr>
        <w:ind w:left="720" w:hanging="360"/>
      </w:pPr>
      <w:rPr>
        <w:rFonts w:ascii="Bookman Old Style" w:eastAsiaTheme="minorHAnsi" w:hAnsi="Bookman Old Styl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722D7D"/>
    <w:multiLevelType w:val="hybridMultilevel"/>
    <w:tmpl w:val="BE4E5B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5BA2B2F"/>
    <w:multiLevelType w:val="multilevel"/>
    <w:tmpl w:val="CEE854A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816274E"/>
    <w:multiLevelType w:val="hybridMultilevel"/>
    <w:tmpl w:val="8D0A3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5C00A4"/>
    <w:multiLevelType w:val="hybridMultilevel"/>
    <w:tmpl w:val="9DC87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1"/>
  </w:num>
  <w:num w:numId="5">
    <w:abstractNumId w:val="13"/>
  </w:num>
  <w:num w:numId="6">
    <w:abstractNumId w:val="20"/>
  </w:num>
  <w:num w:numId="7">
    <w:abstractNumId w:val="2"/>
  </w:num>
  <w:num w:numId="8">
    <w:abstractNumId w:val="1"/>
  </w:num>
  <w:num w:numId="9">
    <w:abstractNumId w:val="6"/>
  </w:num>
  <w:num w:numId="10">
    <w:abstractNumId w:val="18"/>
  </w:num>
  <w:num w:numId="11">
    <w:abstractNumId w:val="5"/>
  </w:num>
  <w:num w:numId="12">
    <w:abstractNumId w:val="0"/>
  </w:num>
  <w:num w:numId="13">
    <w:abstractNumId w:val="4"/>
  </w:num>
  <w:num w:numId="14">
    <w:abstractNumId w:val="14"/>
  </w:num>
  <w:num w:numId="15">
    <w:abstractNumId w:val="19"/>
  </w:num>
  <w:num w:numId="16">
    <w:abstractNumId w:val="3"/>
  </w:num>
  <w:num w:numId="17">
    <w:abstractNumId w:val="8"/>
  </w:num>
  <w:num w:numId="18">
    <w:abstractNumId w:val="16"/>
  </w:num>
  <w:num w:numId="19">
    <w:abstractNumId w:val="9"/>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427E63"/>
    <w:rsid w:val="00077305"/>
    <w:rsid w:val="000859A2"/>
    <w:rsid w:val="00090E4F"/>
    <w:rsid w:val="000B4DE4"/>
    <w:rsid w:val="000D3547"/>
    <w:rsid w:val="000D6780"/>
    <w:rsid w:val="00110DCE"/>
    <w:rsid w:val="0011388F"/>
    <w:rsid w:val="0014205C"/>
    <w:rsid w:val="001426A9"/>
    <w:rsid w:val="00155333"/>
    <w:rsid w:val="001625AA"/>
    <w:rsid w:val="001809A5"/>
    <w:rsid w:val="001B23BA"/>
    <w:rsid w:val="00232ACD"/>
    <w:rsid w:val="002726EC"/>
    <w:rsid w:val="002C3CBA"/>
    <w:rsid w:val="003000AC"/>
    <w:rsid w:val="00330A56"/>
    <w:rsid w:val="003415C2"/>
    <w:rsid w:val="0037421A"/>
    <w:rsid w:val="00386C95"/>
    <w:rsid w:val="003A1454"/>
    <w:rsid w:val="003A1534"/>
    <w:rsid w:val="00427E63"/>
    <w:rsid w:val="00496FEA"/>
    <w:rsid w:val="004B71C0"/>
    <w:rsid w:val="00534940"/>
    <w:rsid w:val="0053697D"/>
    <w:rsid w:val="00537CDF"/>
    <w:rsid w:val="0054770D"/>
    <w:rsid w:val="0056414A"/>
    <w:rsid w:val="00566A91"/>
    <w:rsid w:val="00577A03"/>
    <w:rsid w:val="00580157"/>
    <w:rsid w:val="00597DC7"/>
    <w:rsid w:val="005A6780"/>
    <w:rsid w:val="006238FC"/>
    <w:rsid w:val="00647512"/>
    <w:rsid w:val="00685500"/>
    <w:rsid w:val="006C36F4"/>
    <w:rsid w:val="0070736B"/>
    <w:rsid w:val="007763C3"/>
    <w:rsid w:val="00780CDC"/>
    <w:rsid w:val="008442F5"/>
    <w:rsid w:val="00860324"/>
    <w:rsid w:val="008645AB"/>
    <w:rsid w:val="00886E54"/>
    <w:rsid w:val="008C699B"/>
    <w:rsid w:val="008E0CB3"/>
    <w:rsid w:val="00901B7A"/>
    <w:rsid w:val="00934407"/>
    <w:rsid w:val="00974934"/>
    <w:rsid w:val="009A3172"/>
    <w:rsid w:val="009C4AF8"/>
    <w:rsid w:val="009E0DDC"/>
    <w:rsid w:val="00AC2796"/>
    <w:rsid w:val="00B65609"/>
    <w:rsid w:val="00BA412A"/>
    <w:rsid w:val="00BC3A3A"/>
    <w:rsid w:val="00C2180F"/>
    <w:rsid w:val="00C338A9"/>
    <w:rsid w:val="00C709A1"/>
    <w:rsid w:val="00CB6E68"/>
    <w:rsid w:val="00CD046C"/>
    <w:rsid w:val="00CF4612"/>
    <w:rsid w:val="00D45D14"/>
    <w:rsid w:val="00D75DBF"/>
    <w:rsid w:val="00D84CDB"/>
    <w:rsid w:val="00D87ABF"/>
    <w:rsid w:val="00DA2038"/>
    <w:rsid w:val="00DC773D"/>
    <w:rsid w:val="00DF2AE1"/>
    <w:rsid w:val="00E20ADD"/>
    <w:rsid w:val="00E62D85"/>
    <w:rsid w:val="00EB4803"/>
    <w:rsid w:val="00ED3C93"/>
    <w:rsid w:val="00EE53DC"/>
    <w:rsid w:val="00FD2145"/>
    <w:rsid w:val="00FD6268"/>
    <w:rsid w:val="00FF0A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63"/>
    <w:pPr>
      <w:suppressAutoHyphens/>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60324"/>
    <w:pPr>
      <w:ind w:left="720"/>
      <w:contextualSpacing/>
    </w:pPr>
  </w:style>
  <w:style w:type="paragraph" w:styleId="Textedebulles">
    <w:name w:val="Balloon Text"/>
    <w:basedOn w:val="Normal"/>
    <w:link w:val="TextedebullesCar"/>
    <w:uiPriority w:val="99"/>
    <w:semiHidden/>
    <w:unhideWhenUsed/>
    <w:rsid w:val="00685500"/>
    <w:rPr>
      <w:rFonts w:ascii="Tahoma" w:hAnsi="Tahoma" w:cs="Tahoma"/>
      <w:sz w:val="16"/>
      <w:szCs w:val="16"/>
    </w:rPr>
  </w:style>
  <w:style w:type="character" w:customStyle="1" w:styleId="TextedebullesCar">
    <w:name w:val="Texte de bulles Car"/>
    <w:basedOn w:val="Policepardfaut"/>
    <w:link w:val="Textedebulles"/>
    <w:uiPriority w:val="99"/>
    <w:semiHidden/>
    <w:rsid w:val="00685500"/>
    <w:rPr>
      <w:rFonts w:ascii="Tahoma" w:hAnsi="Tahoma" w:cs="Tahoma"/>
      <w:sz w:val="16"/>
      <w:szCs w:val="16"/>
    </w:rPr>
  </w:style>
  <w:style w:type="character" w:customStyle="1" w:styleId="ParagraphedelisteCar">
    <w:name w:val="Paragraphe de liste Car"/>
    <w:link w:val="Paragraphedeliste"/>
    <w:uiPriority w:val="34"/>
    <w:locked/>
    <w:rsid w:val="000B4DE4"/>
  </w:style>
  <w:style w:type="paragraph" w:styleId="En-tte">
    <w:name w:val="header"/>
    <w:basedOn w:val="Normal"/>
    <w:link w:val="En-tteCar"/>
    <w:uiPriority w:val="99"/>
    <w:semiHidden/>
    <w:unhideWhenUsed/>
    <w:rsid w:val="00D84CDB"/>
    <w:pPr>
      <w:tabs>
        <w:tab w:val="center" w:pos="4536"/>
        <w:tab w:val="right" w:pos="9072"/>
      </w:tabs>
    </w:pPr>
  </w:style>
  <w:style w:type="character" w:customStyle="1" w:styleId="En-tteCar">
    <w:name w:val="En-tête Car"/>
    <w:basedOn w:val="Policepardfaut"/>
    <w:link w:val="En-tte"/>
    <w:uiPriority w:val="99"/>
    <w:semiHidden/>
    <w:rsid w:val="00D84CDB"/>
  </w:style>
  <w:style w:type="paragraph" w:styleId="Pieddepage">
    <w:name w:val="footer"/>
    <w:basedOn w:val="Normal"/>
    <w:link w:val="PieddepageCar"/>
    <w:uiPriority w:val="99"/>
    <w:unhideWhenUsed/>
    <w:rsid w:val="00D84CDB"/>
    <w:pPr>
      <w:tabs>
        <w:tab w:val="center" w:pos="4536"/>
        <w:tab w:val="right" w:pos="9072"/>
      </w:tabs>
    </w:pPr>
  </w:style>
  <w:style w:type="character" w:customStyle="1" w:styleId="PieddepageCar">
    <w:name w:val="Pied de page Car"/>
    <w:basedOn w:val="Policepardfaut"/>
    <w:link w:val="Pieddepage"/>
    <w:uiPriority w:val="99"/>
    <w:rsid w:val="00D84CDB"/>
  </w:style>
  <w:style w:type="table" w:styleId="Grilledutableau">
    <w:name w:val="Table Grid"/>
    <w:basedOn w:val="TableauNormal"/>
    <w:uiPriority w:val="59"/>
    <w:rsid w:val="000D6780"/>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A5D1-851F-449A-B376-BBFC3246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1580</Words>
  <Characters>8692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Louari Robert</dc:creator>
  <cp:lastModifiedBy>HP</cp:lastModifiedBy>
  <cp:revision>13</cp:revision>
  <dcterms:created xsi:type="dcterms:W3CDTF">2016-02-13T00:17:00Z</dcterms:created>
  <dcterms:modified xsi:type="dcterms:W3CDTF">2016-02-15T12:55:00Z</dcterms:modified>
</cp:coreProperties>
</file>